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6E" w:rsidRDefault="004A616E" w:rsidP="00A946CE">
      <w:pPr>
        <w:spacing w:after="0"/>
        <w:jc w:val="center"/>
        <w:rPr>
          <w:rFonts w:asciiTheme="minorHAnsi" w:hAnsiTheme="minorHAnsi"/>
          <w:b/>
        </w:rPr>
      </w:pPr>
    </w:p>
    <w:p w:rsidR="004B343D" w:rsidRPr="00DB45C3" w:rsidRDefault="00A946CE" w:rsidP="00A946CE">
      <w:pPr>
        <w:spacing w:after="0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Schedule </w:t>
      </w:r>
      <w:r w:rsidR="004B343D" w:rsidRPr="00DB45C3">
        <w:rPr>
          <w:rFonts w:asciiTheme="minorHAnsi" w:hAnsiTheme="minorHAnsi"/>
          <w:b/>
        </w:rPr>
        <w:t>for MARAM/DAFF International Fisheries Stock Assessment Review</w:t>
      </w:r>
      <w:r>
        <w:rPr>
          <w:rFonts w:asciiTheme="minorHAnsi" w:hAnsiTheme="minorHAnsi"/>
          <w:b/>
        </w:rPr>
        <w:t xml:space="preserve"> Workshop,</w:t>
      </w:r>
      <w:r w:rsidR="001A5675">
        <w:rPr>
          <w:rFonts w:asciiTheme="minorHAnsi" w:hAnsiTheme="minorHAnsi"/>
          <w:b/>
        </w:rPr>
        <w:t xml:space="preserve"> 28 Nov – 2 Dec,</w:t>
      </w:r>
      <w:r>
        <w:rPr>
          <w:rFonts w:asciiTheme="minorHAnsi" w:hAnsiTheme="minorHAnsi"/>
          <w:b/>
        </w:rPr>
        <w:t xml:space="preserve"> 2011</w:t>
      </w:r>
    </w:p>
    <w:p w:rsidR="004B343D" w:rsidRDefault="004B343D" w:rsidP="00B8075A">
      <w:pPr>
        <w:spacing w:after="0"/>
        <w:jc w:val="both"/>
        <w:rPr>
          <w:rFonts w:asciiTheme="minorHAnsi" w:hAnsiTheme="minorHAnsi"/>
          <w:b/>
        </w:rPr>
      </w:pPr>
    </w:p>
    <w:p w:rsidR="00A946CE" w:rsidRDefault="00A946CE" w:rsidP="00B8075A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Note: </w:t>
      </w:r>
      <w:r>
        <w:rPr>
          <w:rFonts w:asciiTheme="minorHAnsi" w:hAnsiTheme="minorHAnsi"/>
        </w:rPr>
        <w:t>Session chairs shown in parenthesis</w:t>
      </w:r>
    </w:p>
    <w:p w:rsidR="00DE5C1A" w:rsidRDefault="00DE5C1A" w:rsidP="00DE5C1A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n-ZA"/>
        </w:rPr>
      </w:pPr>
      <w:r>
        <w:rPr>
          <w:rFonts w:asciiTheme="minorHAnsi" w:hAnsiTheme="minorHAnsi"/>
        </w:rPr>
        <w:t xml:space="preserve">           T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here will be four se</w:t>
      </w:r>
      <w:r>
        <w:rPr>
          <w:rFonts w:ascii="Calibri" w:eastAsia="Times New Roman" w:hAnsi="Calibri" w:cs="Calibri"/>
          <w:sz w:val="22"/>
          <w:szCs w:val="22"/>
          <w:lang w:eastAsia="en-ZA"/>
        </w:rPr>
        <w:t>ssions a day: I) 9-00 to 10-30;</w:t>
      </w:r>
    </w:p>
    <w:p w:rsidR="00DE5C1A" w:rsidRDefault="00DE5C1A" w:rsidP="00DE5C1A">
      <w:pPr>
        <w:spacing w:after="0" w:line="240" w:lineRule="auto"/>
        <w:ind w:left="2880"/>
        <w:rPr>
          <w:rFonts w:ascii="Calibri" w:eastAsia="Times New Roman" w:hAnsi="Calibri" w:cs="Calibri"/>
          <w:sz w:val="22"/>
          <w:szCs w:val="22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II) 11-00 to 12-30; </w:t>
      </w:r>
    </w:p>
    <w:p w:rsidR="00DE5C1A" w:rsidRDefault="00DE5C1A" w:rsidP="00DE5C1A">
      <w:pPr>
        <w:spacing w:after="0" w:line="240" w:lineRule="auto"/>
        <w:ind w:left="2880"/>
        <w:rPr>
          <w:rFonts w:ascii="Calibri" w:eastAsia="Times New Roman" w:hAnsi="Calibri" w:cs="Calibri"/>
          <w:sz w:val="22"/>
          <w:szCs w:val="22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III) 2-00 to 3-30 and </w:t>
      </w:r>
    </w:p>
    <w:p w:rsidR="00DE5C1A" w:rsidRPr="00DE5C1A" w:rsidRDefault="00DE5C1A" w:rsidP="00DE5C1A">
      <w:pPr>
        <w:spacing w:after="0" w:line="240" w:lineRule="auto"/>
        <w:ind w:left="2880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IV) 4-00 to 5-30. </w:t>
      </w:r>
    </w:p>
    <w:p w:rsidR="00DE5C1A" w:rsidRDefault="00DE5C1A" w:rsidP="00DE5C1A">
      <w:pPr>
        <w:spacing w:after="0" w:line="240" w:lineRule="auto"/>
        <w:ind w:left="510"/>
        <w:jc w:val="both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The latter stages below (specifically Thursday afternoon and Friday morning) may change as time </w:t>
      </w: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 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progresses during the event in response to differential progress on the various issues, as well as on computing tasks requested</w:t>
      </w:r>
      <w:r>
        <w:rPr>
          <w:rFonts w:ascii="Calibri" w:eastAsia="Times New Roman" w:hAnsi="Calibri" w:cs="Calibri"/>
          <w:sz w:val="22"/>
          <w:szCs w:val="22"/>
          <w:lang w:eastAsia="en-ZA"/>
        </w:rPr>
        <w:t>.</w:t>
      </w:r>
    </w:p>
    <w:p w:rsidR="00187A3F" w:rsidRDefault="00187A3F" w:rsidP="00DE5C1A">
      <w:pPr>
        <w:spacing w:after="0" w:line="240" w:lineRule="auto"/>
        <w:ind w:left="510"/>
        <w:jc w:val="both"/>
        <w:rPr>
          <w:rFonts w:ascii="Calibri" w:eastAsia="Times New Roman" w:hAnsi="Calibri" w:cs="Calibri"/>
          <w:sz w:val="22"/>
          <w:szCs w:val="22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>Venue: Room M212, Mathematics Building, UCT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</w:p>
    <w:p w:rsidR="00DE5C1A" w:rsidRPr="001A5675" w:rsidRDefault="00DE5C1A" w:rsidP="00DE5C1A">
      <w:pPr>
        <w:spacing w:after="0" w:line="240" w:lineRule="auto"/>
        <w:rPr>
          <w:rFonts w:ascii="Calibri" w:eastAsia="Times New Roman" w:hAnsi="Calibri" w:cs="Calibri"/>
          <w:b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Mon</w:t>
      </w:r>
      <w:r w:rsidR="001A5675">
        <w:rPr>
          <w:rFonts w:ascii="Calibri" w:eastAsia="Times New Roman" w:hAnsi="Calibri" w:cs="Calibri"/>
          <w:b/>
          <w:sz w:val="22"/>
          <w:szCs w:val="22"/>
          <w:lang w:eastAsia="en-ZA"/>
        </w:rPr>
        <w:t>day</w:t>
      </w: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 xml:space="preserve"> </w:t>
      </w:r>
      <w:proofErr w:type="gramStart"/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28</w:t>
      </w:r>
      <w:r w:rsidR="001A5675">
        <w:rPr>
          <w:rFonts w:ascii="Calibri" w:eastAsia="Times New Roman" w:hAnsi="Calibri" w:cs="Calibri"/>
          <w:b/>
          <w:sz w:val="22"/>
          <w:szCs w:val="22"/>
          <w:lang w:eastAsia="en-ZA"/>
        </w:rPr>
        <w:t xml:space="preserve"> </w:t>
      </w: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:</w:t>
      </w:r>
      <w:proofErr w:type="gramEnd"/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 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I) Welcome followed by presentations on data available for hake assessments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proofErr w:type="spellStart"/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Prochazka</w:t>
      </w:r>
      <w:proofErr w:type="spellEnd"/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/</w:t>
      </w:r>
      <w:proofErr w:type="spellStart"/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Durholtz</w:t>
      </w:r>
      <w:proofErr w:type="spellEnd"/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Default="00DE5C1A" w:rsidP="00DE5C1A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  II) Introduction to pelagic fishery and OMP revision process, followed by commencement of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      </w:t>
      </w:r>
      <w:proofErr w:type="gramStart"/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discussion</w:t>
      </w:r>
      <w:proofErr w:type="gramEnd"/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of evidence for multiple sardine stocks 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(</w:t>
      </w:r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Coetzee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 III) Pelagic OMP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Coetzee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 IV) Pelagic OMP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Smith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eastAsia="Times New Roman"/>
          <w:sz w:val="24"/>
          <w:szCs w:val="24"/>
          <w:lang w:eastAsia="en-ZA"/>
        </w:rPr>
        <w:t> </w:t>
      </w:r>
    </w:p>
    <w:p w:rsidR="00DE5C1A" w:rsidRDefault="00DE5C1A" w:rsidP="001A5675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In parallel with III) and IV) a small group will meet in room M207 to discuss detailed aspects of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the hake data, chaired by </w:t>
      </w:r>
      <w:proofErr w:type="spellStart"/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Durholtz</w:t>
      </w:r>
      <w:proofErr w:type="spellEnd"/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. This group may meet again later during the week. </w:t>
      </w:r>
    </w:p>
    <w:p w:rsidR="001A5675" w:rsidRPr="00DE5C1A" w:rsidRDefault="001A5675" w:rsidP="001A5675">
      <w:pPr>
        <w:spacing w:after="0" w:line="240" w:lineRule="auto"/>
        <w:jc w:val="both"/>
        <w:rPr>
          <w:rFonts w:eastAsia="Times New Roman"/>
          <w:sz w:val="24"/>
          <w:szCs w:val="24"/>
          <w:lang w:eastAsia="en-ZA"/>
        </w:rPr>
      </w:pPr>
    </w:p>
    <w:p w:rsidR="001A5675" w:rsidRPr="001A5675" w:rsidRDefault="00DE5C1A" w:rsidP="00DE5C1A">
      <w:pPr>
        <w:spacing w:after="0" w:line="240" w:lineRule="auto"/>
        <w:rPr>
          <w:rFonts w:ascii="Calibri" w:eastAsia="Times New Roman" w:hAnsi="Calibri" w:cs="Calibri"/>
          <w:b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Tues</w:t>
      </w:r>
      <w:r w:rsidR="001A5675">
        <w:rPr>
          <w:rFonts w:ascii="Calibri" w:eastAsia="Times New Roman" w:hAnsi="Calibri" w:cs="Calibri"/>
          <w:b/>
          <w:sz w:val="22"/>
          <w:szCs w:val="22"/>
          <w:lang w:eastAsia="en-ZA"/>
        </w:rPr>
        <w:t>day</w:t>
      </w: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 xml:space="preserve"> 29:</w:t>
      </w:r>
    </w:p>
    <w:p w:rsidR="00DE5C1A" w:rsidRPr="00DE5C1A" w:rsidRDefault="001A5675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  </w:t>
      </w:r>
      <w:r w:rsidR="00DE5C1A"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I) Horse mackerel</w:t>
      </w: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proofErr w:type="spellStart"/>
      <w:r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Durholtz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   II) MSC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LTLF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- forage species </w:t>
      </w:r>
      <w:proofErr w:type="spellStart"/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ecolabeling</w:t>
      </w:r>
      <w:proofErr w:type="spellEnd"/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requirements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Coetzee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  III) Pelagic OMP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Smith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Default="00DE5C1A" w:rsidP="00DE5C1A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  IV) Hake data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proofErr w:type="spellStart"/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Durholtz</w:t>
      </w:r>
      <w:proofErr w:type="spellEnd"/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1A5675" w:rsidRPr="00DE5C1A" w:rsidRDefault="001A5675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</w:p>
    <w:p w:rsidR="001A5675" w:rsidRPr="001A5675" w:rsidRDefault="00DE5C1A" w:rsidP="00DE5C1A">
      <w:pPr>
        <w:spacing w:after="0" w:line="240" w:lineRule="auto"/>
        <w:rPr>
          <w:rFonts w:ascii="Calibri" w:eastAsia="Times New Roman" w:hAnsi="Calibri" w:cs="Calibri"/>
          <w:b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Wed</w:t>
      </w:r>
      <w:r w:rsidR="001A5675">
        <w:rPr>
          <w:rFonts w:ascii="Calibri" w:eastAsia="Times New Roman" w:hAnsi="Calibri" w:cs="Calibri"/>
          <w:b/>
          <w:sz w:val="22"/>
          <w:szCs w:val="22"/>
          <w:lang w:eastAsia="en-ZA"/>
        </w:rPr>
        <w:t>nesday</w:t>
      </w: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 xml:space="preserve"> 30:</w:t>
      </w:r>
    </w:p>
    <w:p w:rsidR="00DE5C1A" w:rsidRPr="00DE5C1A" w:rsidRDefault="001A5675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</w:t>
      </w:r>
      <w:r w:rsidR="00DE5C1A"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I) Pelagic OMP</w:t>
      </w: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Smith</w:t>
      </w:r>
      <w:r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 II) Penguins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proofErr w:type="spellStart"/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Prochazka</w:t>
      </w:r>
      <w:proofErr w:type="spellEnd"/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III) Hake assessment models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A5675" w:rsidRPr="001A5675">
        <w:rPr>
          <w:rFonts w:ascii="Calibri" w:eastAsia="Times New Roman" w:hAnsi="Calibri" w:cs="Calibri"/>
          <w:i/>
          <w:sz w:val="22"/>
          <w:szCs w:val="22"/>
          <w:lang w:eastAsia="en-ZA"/>
        </w:rPr>
        <w:t>Smith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Default="00DE5C1A" w:rsidP="00DE5C1A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IV) Hake assessment models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A5675" w:rsidRPr="006605A8">
        <w:rPr>
          <w:rFonts w:ascii="Calibri" w:eastAsia="Times New Roman" w:hAnsi="Calibri" w:cs="Calibri"/>
          <w:i/>
          <w:sz w:val="22"/>
          <w:szCs w:val="22"/>
          <w:lang w:eastAsia="en-ZA"/>
        </w:rPr>
        <w:t>Smith</w:t>
      </w:r>
      <w:r w:rsidR="001A5675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1A5675" w:rsidRPr="00DE5C1A" w:rsidRDefault="001A5675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</w:p>
    <w:p w:rsidR="00187A3F" w:rsidRPr="00187A3F" w:rsidRDefault="00DE5C1A" w:rsidP="00DE5C1A">
      <w:pPr>
        <w:spacing w:after="0" w:line="240" w:lineRule="auto"/>
        <w:rPr>
          <w:rFonts w:ascii="Calibri" w:eastAsia="Times New Roman" w:hAnsi="Calibri" w:cs="Calibri"/>
          <w:b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Thur</w:t>
      </w:r>
      <w:r w:rsidR="00187A3F" w:rsidRPr="00187A3F">
        <w:rPr>
          <w:rFonts w:ascii="Calibri" w:eastAsia="Times New Roman" w:hAnsi="Calibri" w:cs="Calibri"/>
          <w:b/>
          <w:sz w:val="22"/>
          <w:szCs w:val="22"/>
          <w:lang w:eastAsia="en-ZA"/>
        </w:rPr>
        <w:t>sday</w:t>
      </w: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 xml:space="preserve"> 1: </w:t>
      </w:r>
    </w:p>
    <w:p w:rsidR="00DE5C1A" w:rsidRPr="00DE5C1A" w:rsidRDefault="00187A3F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 </w:t>
      </w:r>
      <w:r w:rsidR="00DE5C1A" w:rsidRPr="00DE5C1A">
        <w:rPr>
          <w:rFonts w:ascii="Calibri" w:eastAsia="Times New Roman" w:hAnsi="Calibri" w:cs="Calibri"/>
          <w:sz w:val="22"/>
          <w:szCs w:val="22"/>
          <w:lang w:eastAsia="en-ZA"/>
        </w:rPr>
        <w:t>I) Pelagic OMP</w:t>
      </w: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Smith</w:t>
      </w:r>
      <w:r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 II) Hake genetics and assessment models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proofErr w:type="spellStart"/>
      <w:r w:rsidR="00187A3F"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Durholtz</w:t>
      </w:r>
      <w:proofErr w:type="spellEnd"/>
      <w:r w:rsidR="00187A3F"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/Smith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III) Penguins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proofErr w:type="spellStart"/>
      <w:r w:rsidR="00187A3F"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Prochazka</w:t>
      </w:r>
      <w:proofErr w:type="spellEnd"/>
      <w:r w:rsidR="00187A3F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Default="00DE5C1A" w:rsidP="00DE5C1A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   IV) Pelagic OMP and/or MSC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>-LTLF</w:t>
      </w: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forage species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87A3F"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Coetzee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187A3F" w:rsidRPr="00DE5C1A" w:rsidRDefault="00187A3F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</w:p>
    <w:p w:rsidR="00187A3F" w:rsidRPr="00187A3F" w:rsidRDefault="00DE5C1A" w:rsidP="00DE5C1A">
      <w:pPr>
        <w:spacing w:after="0" w:line="240" w:lineRule="auto"/>
        <w:rPr>
          <w:rFonts w:ascii="Calibri" w:eastAsia="Times New Roman" w:hAnsi="Calibri" w:cs="Calibri"/>
          <w:b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Fri</w:t>
      </w:r>
      <w:r w:rsidR="00187A3F" w:rsidRPr="00187A3F">
        <w:rPr>
          <w:rFonts w:ascii="Calibri" w:eastAsia="Times New Roman" w:hAnsi="Calibri" w:cs="Calibri"/>
          <w:b/>
          <w:sz w:val="22"/>
          <w:szCs w:val="22"/>
          <w:lang w:eastAsia="en-ZA"/>
        </w:rPr>
        <w:t>day</w:t>
      </w:r>
      <w:r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 xml:space="preserve"> 2: </w:t>
      </w:r>
    </w:p>
    <w:p w:rsidR="00DE5C1A" w:rsidRPr="00DE5C1A" w:rsidRDefault="00187A3F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</w:t>
      </w:r>
      <w:r w:rsidR="00DE5C1A" w:rsidRPr="00DE5C1A">
        <w:rPr>
          <w:rFonts w:ascii="Calibri" w:eastAsia="Times New Roman" w:hAnsi="Calibri" w:cs="Calibri"/>
          <w:sz w:val="22"/>
          <w:szCs w:val="22"/>
          <w:lang w:eastAsia="en-ZA"/>
        </w:rPr>
        <w:t>I) Hake assessment models</w:t>
      </w: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 xml:space="preserve">Smith or </w:t>
      </w:r>
      <w:proofErr w:type="spellStart"/>
      <w:r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Durholtz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 II) Pelagic fishery issues - OMP, horse mackerel, and/or penguins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87A3F"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Coetzee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      III) Panel technical report consideration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 xml:space="preserve"> (</w:t>
      </w:r>
      <w:r w:rsidR="00187A3F"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Smith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187A3F" w:rsidRDefault="00DE5C1A" w:rsidP="00DE5C1A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       IV) Presentation of Panel Report at a less technical level aimed at managers, industry stake-holders etc. </w:t>
      </w:r>
      <w:r w:rsidR="00187A3F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</w:p>
    <w:p w:rsidR="00DE5C1A" w:rsidRPr="00DE5C1A" w:rsidRDefault="00187A3F" w:rsidP="00DE5C1A">
      <w:pPr>
        <w:spacing w:after="0" w:line="240" w:lineRule="auto"/>
        <w:rPr>
          <w:rFonts w:eastAsia="Times New Roman"/>
          <w:sz w:val="24"/>
          <w:szCs w:val="24"/>
          <w:lang w:eastAsia="en-ZA"/>
        </w:rPr>
      </w:pPr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             (</w:t>
      </w:r>
      <w:proofErr w:type="spellStart"/>
      <w:r w:rsidRPr="00187A3F">
        <w:rPr>
          <w:rFonts w:ascii="Calibri" w:eastAsia="Times New Roman" w:hAnsi="Calibri" w:cs="Calibri"/>
          <w:i/>
          <w:sz w:val="22"/>
          <w:szCs w:val="22"/>
          <w:lang w:eastAsia="en-ZA"/>
        </w:rPr>
        <w:t>Prochazka</w:t>
      </w:r>
      <w:proofErr w:type="spellEnd"/>
      <w:r>
        <w:rPr>
          <w:rFonts w:ascii="Calibri" w:eastAsia="Times New Roman" w:hAnsi="Calibri" w:cs="Calibri"/>
          <w:sz w:val="22"/>
          <w:szCs w:val="22"/>
          <w:lang w:eastAsia="en-ZA"/>
        </w:rPr>
        <w:t xml:space="preserve">) </w:t>
      </w:r>
      <w:r w:rsidR="00DE5C1A" w:rsidRPr="00DE5C1A">
        <w:rPr>
          <w:rFonts w:ascii="Calibri" w:eastAsia="Times New Roman" w:hAnsi="Calibri" w:cs="Calibri"/>
          <w:sz w:val="22"/>
          <w:szCs w:val="22"/>
          <w:lang w:eastAsia="en-ZA"/>
        </w:rPr>
        <w:t>(</w:t>
      </w:r>
      <w:r w:rsidR="006A0AB0" w:rsidRPr="006A0AB0">
        <w:rPr>
          <w:rFonts w:ascii="Calibri" w:eastAsia="Times New Roman" w:hAnsi="Calibri" w:cs="Calibri"/>
          <w:b/>
          <w:sz w:val="22"/>
          <w:szCs w:val="22"/>
          <w:lang w:eastAsia="en-ZA"/>
        </w:rPr>
        <w:t>NB:</w:t>
      </w:r>
      <w:r w:rsidR="006A0AB0">
        <w:rPr>
          <w:rFonts w:ascii="Calibri" w:eastAsia="Times New Roman" w:hAnsi="Calibri" w:cs="Calibri"/>
          <w:b/>
          <w:sz w:val="22"/>
          <w:szCs w:val="22"/>
          <w:lang w:eastAsia="en-ZA"/>
        </w:rPr>
        <w:t xml:space="preserve"> </w:t>
      </w:r>
      <w:r w:rsidR="00DE5C1A" w:rsidRPr="00DE5C1A">
        <w:rPr>
          <w:rFonts w:ascii="Calibri" w:eastAsia="Times New Roman" w:hAnsi="Calibri" w:cs="Calibri"/>
          <w:sz w:val="22"/>
          <w:szCs w:val="22"/>
          <w:lang w:eastAsia="en-ZA"/>
        </w:rPr>
        <w:t xml:space="preserve"> </w:t>
      </w:r>
      <w:r w:rsidR="00DE5C1A" w:rsidRPr="00DE5C1A">
        <w:rPr>
          <w:rFonts w:ascii="Calibri" w:eastAsia="Times New Roman" w:hAnsi="Calibri" w:cs="Calibri"/>
          <w:b/>
          <w:sz w:val="22"/>
          <w:szCs w:val="22"/>
          <w:lang w:eastAsia="en-ZA"/>
        </w:rPr>
        <w:t>Room M304 and commencing 3-30 pm</w:t>
      </w:r>
      <w:r w:rsidR="00DE5C1A" w:rsidRPr="00DE5C1A">
        <w:rPr>
          <w:rFonts w:ascii="Calibri" w:eastAsia="Times New Roman" w:hAnsi="Calibri" w:cs="Calibri"/>
          <w:sz w:val="22"/>
          <w:szCs w:val="22"/>
          <w:lang w:eastAsia="en-ZA"/>
        </w:rPr>
        <w:t>)</w:t>
      </w:r>
    </w:p>
    <w:p w:rsidR="00DE5C1A" w:rsidRPr="00DE5C1A" w:rsidRDefault="00DE5C1A" w:rsidP="00DE5C1A">
      <w:pPr>
        <w:spacing w:after="15" w:line="240" w:lineRule="auto"/>
        <w:rPr>
          <w:rFonts w:ascii="Calibri" w:eastAsia="Times New Roman" w:hAnsi="Calibri" w:cs="Calibri"/>
          <w:sz w:val="22"/>
          <w:szCs w:val="22"/>
          <w:lang w:eastAsia="en-ZA"/>
        </w:rPr>
      </w:pPr>
      <w:r w:rsidRPr="00DE5C1A">
        <w:rPr>
          <w:rFonts w:ascii="Calibri" w:eastAsia="Times New Roman" w:hAnsi="Calibri" w:cs="Calibri"/>
          <w:sz w:val="22"/>
          <w:szCs w:val="22"/>
          <w:lang w:eastAsia="en-ZA"/>
        </w:rPr>
        <w:t> </w:t>
      </w:r>
    </w:p>
    <w:p w:rsidR="00A946CE" w:rsidRPr="00A946CE" w:rsidRDefault="00A946CE" w:rsidP="00B8075A">
      <w:pPr>
        <w:spacing w:after="0"/>
        <w:jc w:val="both"/>
        <w:rPr>
          <w:rFonts w:asciiTheme="minorHAnsi" w:hAnsiTheme="minorHAnsi"/>
        </w:rPr>
      </w:pPr>
    </w:p>
    <w:p w:rsidR="00BB3BA7" w:rsidRPr="00DB45C3" w:rsidRDefault="00BB3BA7" w:rsidP="00B8075A">
      <w:pPr>
        <w:spacing w:after="120" w:line="240" w:lineRule="auto"/>
        <w:jc w:val="both"/>
        <w:rPr>
          <w:rFonts w:ascii="Calibri" w:eastAsia="Times New Roman" w:hAnsi="Calibri"/>
          <w:color w:val="000000"/>
          <w:lang w:eastAsia="en-ZA"/>
        </w:rPr>
      </w:pPr>
    </w:p>
    <w:p w:rsidR="00741EF5" w:rsidRPr="00DB45C3" w:rsidRDefault="00741EF5" w:rsidP="00B8075A">
      <w:pPr>
        <w:spacing w:after="120" w:line="240" w:lineRule="auto"/>
        <w:jc w:val="both"/>
        <w:rPr>
          <w:rFonts w:ascii="Segoe UI" w:hAnsi="Segoe UI" w:cs="Segoe UI"/>
          <w:i/>
        </w:rPr>
      </w:pPr>
    </w:p>
    <w:sectPr w:rsidR="00741EF5" w:rsidRPr="00DB45C3" w:rsidSect="00BC2E30">
      <w:headerReference w:type="default" r:id="rId9"/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D4" w:rsidRDefault="008833D4" w:rsidP="00B93C1F">
      <w:pPr>
        <w:spacing w:after="0" w:line="240" w:lineRule="auto"/>
      </w:pPr>
      <w:r>
        <w:separator/>
      </w:r>
    </w:p>
  </w:endnote>
  <w:endnote w:type="continuationSeparator" w:id="0">
    <w:p w:rsidR="008833D4" w:rsidRDefault="008833D4" w:rsidP="00B9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704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154" w:rsidRDefault="003A01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1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154" w:rsidRDefault="003A0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D4" w:rsidRDefault="008833D4" w:rsidP="00B93C1F">
      <w:pPr>
        <w:spacing w:after="0" w:line="240" w:lineRule="auto"/>
      </w:pPr>
      <w:r>
        <w:separator/>
      </w:r>
    </w:p>
  </w:footnote>
  <w:footnote w:type="continuationSeparator" w:id="0">
    <w:p w:rsidR="008833D4" w:rsidRDefault="008833D4" w:rsidP="00B9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1F" w:rsidRDefault="00A946CE" w:rsidP="00B93C1F">
    <w:pPr>
      <w:pStyle w:val="Header"/>
      <w:jc w:val="right"/>
    </w:pPr>
    <w:r>
      <w:t>MARAM IWS/DEC11/ALL/2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5EE"/>
    <w:multiLevelType w:val="hybridMultilevel"/>
    <w:tmpl w:val="B93014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1587"/>
    <w:multiLevelType w:val="hybridMultilevel"/>
    <w:tmpl w:val="0E0E86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417"/>
    <w:multiLevelType w:val="hybridMultilevel"/>
    <w:tmpl w:val="0D7E1742"/>
    <w:lvl w:ilvl="0" w:tplc="8B688F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7C7589"/>
    <w:multiLevelType w:val="hybridMultilevel"/>
    <w:tmpl w:val="A5122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B5961"/>
    <w:multiLevelType w:val="hybridMultilevel"/>
    <w:tmpl w:val="4C2CA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D69B3"/>
    <w:multiLevelType w:val="hybridMultilevel"/>
    <w:tmpl w:val="D6C003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AE7"/>
    <w:rsid w:val="000203F4"/>
    <w:rsid w:val="000C3E70"/>
    <w:rsid w:val="000E3B67"/>
    <w:rsid w:val="001174AB"/>
    <w:rsid w:val="0012022C"/>
    <w:rsid w:val="00147493"/>
    <w:rsid w:val="00187A3F"/>
    <w:rsid w:val="001A0A29"/>
    <w:rsid w:val="001A4F0D"/>
    <w:rsid w:val="001A5675"/>
    <w:rsid w:val="001A700A"/>
    <w:rsid w:val="001D29B6"/>
    <w:rsid w:val="001E5771"/>
    <w:rsid w:val="001E6E9C"/>
    <w:rsid w:val="001F6FAE"/>
    <w:rsid w:val="002454B5"/>
    <w:rsid w:val="00276EF7"/>
    <w:rsid w:val="002B6DF6"/>
    <w:rsid w:val="00330491"/>
    <w:rsid w:val="00336FAA"/>
    <w:rsid w:val="00353F58"/>
    <w:rsid w:val="00373A81"/>
    <w:rsid w:val="003A0154"/>
    <w:rsid w:val="003A2234"/>
    <w:rsid w:val="003A6265"/>
    <w:rsid w:val="003D33C9"/>
    <w:rsid w:val="003E6F87"/>
    <w:rsid w:val="00414A07"/>
    <w:rsid w:val="00424CDB"/>
    <w:rsid w:val="00441216"/>
    <w:rsid w:val="004A616E"/>
    <w:rsid w:val="004A64F6"/>
    <w:rsid w:val="004B343D"/>
    <w:rsid w:val="004E64F4"/>
    <w:rsid w:val="00522AE7"/>
    <w:rsid w:val="00546619"/>
    <w:rsid w:val="005C3DCB"/>
    <w:rsid w:val="005E0E7A"/>
    <w:rsid w:val="005E36B4"/>
    <w:rsid w:val="00600E1C"/>
    <w:rsid w:val="0061336E"/>
    <w:rsid w:val="00615E65"/>
    <w:rsid w:val="006605A8"/>
    <w:rsid w:val="006A0AB0"/>
    <w:rsid w:val="006E0BAE"/>
    <w:rsid w:val="0071760E"/>
    <w:rsid w:val="00724AF6"/>
    <w:rsid w:val="00735785"/>
    <w:rsid w:val="00741EF5"/>
    <w:rsid w:val="00771326"/>
    <w:rsid w:val="00780F55"/>
    <w:rsid w:val="007A484B"/>
    <w:rsid w:val="007E26C1"/>
    <w:rsid w:val="007E4307"/>
    <w:rsid w:val="007E49A8"/>
    <w:rsid w:val="008833D4"/>
    <w:rsid w:val="0089626F"/>
    <w:rsid w:val="0090196F"/>
    <w:rsid w:val="00944EA9"/>
    <w:rsid w:val="00960DDE"/>
    <w:rsid w:val="009624A0"/>
    <w:rsid w:val="009A694A"/>
    <w:rsid w:val="00A07673"/>
    <w:rsid w:val="00A23DD8"/>
    <w:rsid w:val="00A23F6D"/>
    <w:rsid w:val="00A2749F"/>
    <w:rsid w:val="00A77D38"/>
    <w:rsid w:val="00A856E1"/>
    <w:rsid w:val="00A946CE"/>
    <w:rsid w:val="00AF1752"/>
    <w:rsid w:val="00B105BF"/>
    <w:rsid w:val="00B165A4"/>
    <w:rsid w:val="00B6431D"/>
    <w:rsid w:val="00B8075A"/>
    <w:rsid w:val="00B93C1F"/>
    <w:rsid w:val="00B95EE9"/>
    <w:rsid w:val="00B96C37"/>
    <w:rsid w:val="00BA6BAD"/>
    <w:rsid w:val="00BB3BA7"/>
    <w:rsid w:val="00BC2E30"/>
    <w:rsid w:val="00BC5CED"/>
    <w:rsid w:val="00C45FD3"/>
    <w:rsid w:val="00CC5742"/>
    <w:rsid w:val="00CF74CD"/>
    <w:rsid w:val="00D14F5F"/>
    <w:rsid w:val="00D16128"/>
    <w:rsid w:val="00D25EA2"/>
    <w:rsid w:val="00D44885"/>
    <w:rsid w:val="00D9479B"/>
    <w:rsid w:val="00DA4A25"/>
    <w:rsid w:val="00DB45C3"/>
    <w:rsid w:val="00DB6223"/>
    <w:rsid w:val="00DC6580"/>
    <w:rsid w:val="00DD0B7D"/>
    <w:rsid w:val="00DD1166"/>
    <w:rsid w:val="00DE5C1A"/>
    <w:rsid w:val="00DF25FB"/>
    <w:rsid w:val="00E00515"/>
    <w:rsid w:val="00E06E83"/>
    <w:rsid w:val="00E10920"/>
    <w:rsid w:val="00E15019"/>
    <w:rsid w:val="00E60613"/>
    <w:rsid w:val="00E669AC"/>
    <w:rsid w:val="00EA173A"/>
    <w:rsid w:val="00EA573C"/>
    <w:rsid w:val="00F041D8"/>
    <w:rsid w:val="00F171EC"/>
    <w:rsid w:val="00F17716"/>
    <w:rsid w:val="00F353B8"/>
    <w:rsid w:val="00F35B12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05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41E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C1F"/>
  </w:style>
  <w:style w:type="paragraph" w:styleId="Footer">
    <w:name w:val="footer"/>
    <w:basedOn w:val="Normal"/>
    <w:link w:val="FooterChar"/>
    <w:uiPriority w:val="99"/>
    <w:unhideWhenUsed/>
    <w:rsid w:val="00B9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938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8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E941-9AFF-4235-A5AF-8FF2127A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Doug Butterworth</cp:lastModifiedBy>
  <cp:revision>6</cp:revision>
  <cp:lastPrinted>2011-11-26T10:49:00Z</cp:lastPrinted>
  <dcterms:created xsi:type="dcterms:W3CDTF">2011-11-26T10:53:00Z</dcterms:created>
  <dcterms:modified xsi:type="dcterms:W3CDTF">2011-11-26T11:12:00Z</dcterms:modified>
</cp:coreProperties>
</file>