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E0" w:rsidRPr="008150E0" w:rsidRDefault="008150E0" w:rsidP="008150E0">
      <w:pPr>
        <w:spacing w:before="120" w:after="0"/>
        <w:ind w:left="714"/>
        <w:jc w:val="center"/>
        <w:rPr>
          <w:b/>
          <w:sz w:val="36"/>
          <w:szCs w:val="36"/>
          <w:lang w:val="en-US"/>
        </w:rPr>
      </w:pPr>
      <w:r w:rsidRPr="008150E0">
        <w:rPr>
          <w:b/>
          <w:sz w:val="36"/>
          <w:szCs w:val="36"/>
          <w:lang w:val="en-US"/>
        </w:rPr>
        <w:t xml:space="preserve">Implications of </w:t>
      </w:r>
      <w:r w:rsidR="00BA0342">
        <w:rPr>
          <w:b/>
          <w:sz w:val="36"/>
          <w:szCs w:val="36"/>
          <w:lang w:val="en-US"/>
        </w:rPr>
        <w:t>the I</w:t>
      </w:r>
      <w:r w:rsidRPr="008150E0">
        <w:rPr>
          <w:b/>
          <w:sz w:val="36"/>
          <w:szCs w:val="36"/>
          <w:lang w:val="en-US"/>
        </w:rPr>
        <w:t xml:space="preserve">mpacts on CPUE </w:t>
      </w:r>
      <w:r w:rsidR="00BA0342">
        <w:rPr>
          <w:b/>
          <w:sz w:val="36"/>
          <w:szCs w:val="36"/>
          <w:lang w:val="en-US"/>
        </w:rPr>
        <w:t>as a Result of</w:t>
      </w:r>
      <w:r>
        <w:rPr>
          <w:b/>
          <w:sz w:val="36"/>
          <w:szCs w:val="36"/>
          <w:lang w:val="en-US"/>
        </w:rPr>
        <w:t xml:space="preserve"> the </w:t>
      </w:r>
      <w:r w:rsidR="00BA0342">
        <w:rPr>
          <w:b/>
          <w:sz w:val="36"/>
          <w:szCs w:val="36"/>
          <w:lang w:val="en-US"/>
        </w:rPr>
        <w:t>I</w:t>
      </w:r>
      <w:r>
        <w:rPr>
          <w:b/>
          <w:sz w:val="36"/>
          <w:szCs w:val="36"/>
          <w:lang w:val="en-US"/>
        </w:rPr>
        <w:t>ntroduction of MPAs</w:t>
      </w:r>
      <w:r w:rsidR="00BA0342">
        <w:rPr>
          <w:b/>
          <w:sz w:val="36"/>
          <w:szCs w:val="36"/>
          <w:lang w:val="en-US"/>
        </w:rPr>
        <w:t xml:space="preserve"> on Hake OMP Performance</w:t>
      </w:r>
    </w:p>
    <w:p w:rsidR="00465852" w:rsidRDefault="00465852" w:rsidP="008150E0">
      <w:pPr>
        <w:spacing w:before="120" w:after="0"/>
        <w:jc w:val="center"/>
        <w:rPr>
          <w:lang w:val="en-US"/>
        </w:rPr>
      </w:pPr>
    </w:p>
    <w:p w:rsidR="008150E0" w:rsidRDefault="008150E0" w:rsidP="008150E0">
      <w:pPr>
        <w:spacing w:before="120" w:after="0"/>
        <w:jc w:val="center"/>
        <w:rPr>
          <w:lang w:val="en-US"/>
        </w:rPr>
      </w:pPr>
      <w:r>
        <w:rPr>
          <w:lang w:val="en-US"/>
        </w:rPr>
        <w:t>Rebecca A Rademeyer and Doug S Butterworth</w:t>
      </w:r>
    </w:p>
    <w:p w:rsidR="00465852" w:rsidRDefault="008150E0" w:rsidP="008150E0">
      <w:pPr>
        <w:spacing w:before="120" w:after="0"/>
        <w:jc w:val="center"/>
        <w:rPr>
          <w:lang w:val="en-US"/>
        </w:rPr>
      </w:pPr>
      <w:r>
        <w:rPr>
          <w:lang w:val="en-US"/>
        </w:rPr>
        <w:t>November 2010</w:t>
      </w:r>
    </w:p>
    <w:p w:rsidR="00465852" w:rsidRDefault="00465852" w:rsidP="008150E0">
      <w:pPr>
        <w:spacing w:before="120" w:after="0"/>
        <w:jc w:val="center"/>
        <w:rPr>
          <w:lang w:val="en-US"/>
        </w:rPr>
      </w:pPr>
    </w:p>
    <w:p w:rsidR="00465852" w:rsidRPr="006449C1" w:rsidRDefault="008150E0" w:rsidP="00A8647B">
      <w:pPr>
        <w:spacing w:before="120" w:after="0"/>
        <w:jc w:val="center"/>
        <w:rPr>
          <w:b/>
          <w:sz w:val="24"/>
          <w:szCs w:val="24"/>
          <w:lang w:val="en-US"/>
        </w:rPr>
      </w:pPr>
      <w:r w:rsidRPr="006449C1">
        <w:rPr>
          <w:b/>
          <w:sz w:val="24"/>
          <w:szCs w:val="24"/>
          <w:lang w:val="en-US"/>
        </w:rPr>
        <w:t>Abstract</w:t>
      </w:r>
    </w:p>
    <w:p w:rsidR="008150E0" w:rsidRDefault="00BA0342" w:rsidP="00A8647B">
      <w:pPr>
        <w:spacing w:before="120" w:after="0"/>
        <w:ind w:left="1134" w:right="1134"/>
        <w:jc w:val="both"/>
        <w:rPr>
          <w:sz w:val="20"/>
          <w:szCs w:val="20"/>
          <w:lang w:val="en-US"/>
        </w:rPr>
      </w:pPr>
      <w:r w:rsidRPr="00A8647B">
        <w:rPr>
          <w:sz w:val="20"/>
          <w:szCs w:val="20"/>
          <w:lang w:val="en-US"/>
        </w:rPr>
        <w:t xml:space="preserve">The possible effects of the introduction of MPAs on hake CPUE, and hence on the performance of the hake OMP, is examined for a number of scenarios. The impact is modeled as a change in catchability </w:t>
      </w:r>
      <w:r w:rsidRPr="00A8647B">
        <w:rPr>
          <w:i/>
          <w:sz w:val="20"/>
          <w:szCs w:val="20"/>
          <w:lang w:val="en-US"/>
        </w:rPr>
        <w:t>q</w:t>
      </w:r>
      <w:r w:rsidRPr="00A8647B">
        <w:rPr>
          <w:sz w:val="20"/>
          <w:szCs w:val="20"/>
          <w:lang w:val="en-US"/>
        </w:rPr>
        <w:t xml:space="preserve"> whose existence and magnitude is unknown to the manager. Retuning the OMP to adjust for this could necessitate lowering annual TACs for the next five years by some 15-20 thousand tons to maintain the same levels of risk for the </w:t>
      </w:r>
      <w:r w:rsidRPr="00A8647B">
        <w:rPr>
          <w:i/>
          <w:sz w:val="20"/>
          <w:szCs w:val="20"/>
          <w:lang w:val="en-US"/>
        </w:rPr>
        <w:t xml:space="preserve">M. </w:t>
      </w:r>
      <w:proofErr w:type="spellStart"/>
      <w:r w:rsidRPr="00A8647B">
        <w:rPr>
          <w:i/>
          <w:sz w:val="20"/>
          <w:szCs w:val="20"/>
          <w:lang w:val="en-US"/>
        </w:rPr>
        <w:t>paradoxus</w:t>
      </w:r>
      <w:proofErr w:type="spellEnd"/>
      <w:r w:rsidRPr="00A8647B">
        <w:rPr>
          <w:sz w:val="20"/>
          <w:szCs w:val="20"/>
          <w:lang w:val="en-US"/>
        </w:rPr>
        <w:t xml:space="preserve"> population. Naturally this magnitude depends on the size of the change in </w:t>
      </w:r>
      <w:r w:rsidRPr="00A8647B">
        <w:rPr>
          <w:i/>
          <w:sz w:val="20"/>
          <w:szCs w:val="20"/>
          <w:lang w:val="en-US"/>
        </w:rPr>
        <w:t xml:space="preserve">q </w:t>
      </w:r>
      <w:r w:rsidRPr="00A8647B">
        <w:rPr>
          <w:sz w:val="20"/>
          <w:szCs w:val="20"/>
          <w:lang w:val="en-US"/>
        </w:rPr>
        <w:t>assumed (here some 20%).</w:t>
      </w:r>
    </w:p>
    <w:p w:rsidR="00A8647B" w:rsidRPr="00A8647B" w:rsidRDefault="00A8647B" w:rsidP="00A8647B">
      <w:pPr>
        <w:spacing w:before="120" w:after="0"/>
        <w:ind w:left="1134" w:right="1134"/>
        <w:jc w:val="both"/>
        <w:rPr>
          <w:sz w:val="20"/>
          <w:szCs w:val="20"/>
          <w:lang w:val="en-US"/>
        </w:rPr>
      </w:pPr>
    </w:p>
    <w:p w:rsidR="008150E0" w:rsidRPr="006449C1" w:rsidRDefault="008150E0" w:rsidP="00465852">
      <w:pPr>
        <w:spacing w:before="120" w:after="0"/>
        <w:jc w:val="both"/>
        <w:rPr>
          <w:b/>
          <w:sz w:val="24"/>
          <w:szCs w:val="24"/>
          <w:lang w:val="en-US"/>
        </w:rPr>
      </w:pPr>
      <w:r w:rsidRPr="006449C1">
        <w:rPr>
          <w:b/>
          <w:sz w:val="24"/>
          <w:szCs w:val="24"/>
          <w:lang w:val="en-US"/>
        </w:rPr>
        <w:t>Introduction</w:t>
      </w:r>
    </w:p>
    <w:p w:rsidR="008150E0" w:rsidRDefault="009D40D2" w:rsidP="00465852">
      <w:pPr>
        <w:spacing w:before="120" w:after="0"/>
        <w:jc w:val="both"/>
        <w:rPr>
          <w:lang w:val="en-US"/>
        </w:rPr>
      </w:pPr>
      <w:r>
        <w:rPr>
          <w:lang w:val="en-US"/>
        </w:rPr>
        <w:t xml:space="preserve">The introduction of MPAs (of a large scale and in areas of high fishing activity) is known to cause changes in fishing behavior, such as vessels clustering at MPA boundaries, and hence to impact CPUE. This is of importance for the hake OMP, which depends heavily on the input of CPUE data </w:t>
      </w:r>
      <w:r w:rsidR="00F3358C">
        <w:rPr>
          <w:lang w:val="en-US"/>
        </w:rPr>
        <w:t>which are assumed</w:t>
      </w:r>
      <w:r>
        <w:rPr>
          <w:lang w:val="en-US"/>
        </w:rPr>
        <w:t xml:space="preserve"> to reflect abundance trends accurately</w:t>
      </w:r>
      <w:r w:rsidR="00F3358C">
        <w:rPr>
          <w:lang w:val="en-US"/>
        </w:rPr>
        <w:t>. I</w:t>
      </w:r>
      <w:r w:rsidR="00AA3129">
        <w:rPr>
          <w:lang w:val="en-US"/>
        </w:rPr>
        <w:t xml:space="preserve">ndeed the new hake OMP </w:t>
      </w:r>
      <w:r w:rsidR="00FD231E">
        <w:rPr>
          <w:lang w:val="en-US"/>
        </w:rPr>
        <w:t>incorporates</w:t>
      </w:r>
      <w:r w:rsidR="00AA3129">
        <w:rPr>
          <w:lang w:val="en-US"/>
        </w:rPr>
        <w:t xml:space="preserve"> a heavier relative weighting </w:t>
      </w:r>
      <w:r w:rsidR="00FD231E">
        <w:rPr>
          <w:lang w:val="en-US"/>
        </w:rPr>
        <w:t>of</w:t>
      </w:r>
      <w:r w:rsidR="00AA3129">
        <w:rPr>
          <w:lang w:val="en-US"/>
        </w:rPr>
        <w:t xml:space="preserve"> CPUE data compared to research survey data than in the past, given the less</w:t>
      </w:r>
      <w:r w:rsidR="00FD231E">
        <w:rPr>
          <w:lang w:val="en-US"/>
        </w:rPr>
        <w:t>er</w:t>
      </w:r>
      <w:r w:rsidR="00AA3129">
        <w:rPr>
          <w:lang w:val="en-US"/>
        </w:rPr>
        <w:t xml:space="preserve"> variance displayed by CPUE data.</w:t>
      </w:r>
    </w:p>
    <w:p w:rsidR="00AA3129" w:rsidRDefault="00AA3129" w:rsidP="00465852">
      <w:pPr>
        <w:spacing w:before="120" w:after="0"/>
        <w:jc w:val="both"/>
        <w:rPr>
          <w:lang w:val="en-US"/>
        </w:rPr>
      </w:pPr>
      <w:r>
        <w:rPr>
          <w:lang w:val="en-US"/>
        </w:rPr>
        <w:t xml:space="preserve">If </w:t>
      </w:r>
      <w:r w:rsidR="00F3358C">
        <w:rPr>
          <w:lang w:val="en-US"/>
        </w:rPr>
        <w:t xml:space="preserve">the relationship between </w:t>
      </w:r>
      <w:r>
        <w:rPr>
          <w:lang w:val="en-US"/>
        </w:rPr>
        <w:t>hake CPUE</w:t>
      </w:r>
      <w:r w:rsidR="00F3358C">
        <w:rPr>
          <w:lang w:val="en-US"/>
        </w:rPr>
        <w:t xml:space="preserve"> and abundance</w:t>
      </w:r>
      <w:r>
        <w:rPr>
          <w:lang w:val="en-US"/>
        </w:rPr>
        <w:t xml:space="preserve"> is changed by the introduction of MPAs in offshore waters, this will impact the performance to be anticipated under the OMP. Indeed the OMP should be </w:t>
      </w:r>
      <w:proofErr w:type="spellStart"/>
      <w:r>
        <w:rPr>
          <w:lang w:val="en-US"/>
        </w:rPr>
        <w:t>retuned</w:t>
      </w:r>
      <w:proofErr w:type="spellEnd"/>
      <w:r>
        <w:rPr>
          <w:lang w:val="en-US"/>
        </w:rPr>
        <w:t xml:space="preserve"> to reflect the same resource “risk” as under the current situation.</w:t>
      </w:r>
    </w:p>
    <w:p w:rsidR="00AA3129" w:rsidRDefault="00AA3129" w:rsidP="00465852">
      <w:pPr>
        <w:spacing w:before="120" w:after="0"/>
        <w:jc w:val="both"/>
        <w:rPr>
          <w:lang w:val="en-US"/>
        </w:rPr>
      </w:pPr>
      <w:r>
        <w:rPr>
          <w:lang w:val="en-US"/>
        </w:rPr>
        <w:t>The key question then is how might CPUE change, so that the OMP could be adjusted to compensate, and what would be the impact on anticipated performance</w:t>
      </w:r>
      <w:r w:rsidR="00F3358C">
        <w:rPr>
          <w:lang w:val="en-US"/>
        </w:rPr>
        <w:t>?</w:t>
      </w:r>
      <w:r>
        <w:rPr>
          <w:lang w:val="en-US"/>
        </w:rPr>
        <w:t xml:space="preserve"> In the USA, the approach is simple: on introduction of MPAs, CPUE data are no longer considered reliable indicators of abundance trends and so are no longer used in calculating advice</w:t>
      </w:r>
      <w:r w:rsidR="00D84112">
        <w:rPr>
          <w:lang w:val="en-US"/>
        </w:rPr>
        <w:t xml:space="preserve"> for management</w:t>
      </w:r>
      <w:r w:rsidR="00F3358C">
        <w:rPr>
          <w:lang w:val="en-US"/>
        </w:rPr>
        <w:t xml:space="preserve"> (A. Punt, pers. </w:t>
      </w:r>
      <w:proofErr w:type="spellStart"/>
      <w:r w:rsidR="00F3358C">
        <w:rPr>
          <w:lang w:val="en-US"/>
        </w:rPr>
        <w:t>commn</w:t>
      </w:r>
      <w:proofErr w:type="spellEnd"/>
      <w:r w:rsidR="00F3358C">
        <w:rPr>
          <w:lang w:val="en-US"/>
        </w:rPr>
        <w:t>)</w:t>
      </w:r>
      <w:r w:rsidR="00D84112">
        <w:rPr>
          <w:lang w:val="en-US"/>
        </w:rPr>
        <w:t>. This scenario</w:t>
      </w:r>
      <w:r>
        <w:rPr>
          <w:lang w:val="en-US"/>
        </w:rPr>
        <w:t xml:space="preserve"> is examined below for hake in the context of a final candidate for the new hake OMP</w:t>
      </w:r>
      <w:r w:rsidR="00D84112">
        <w:rPr>
          <w:lang w:val="en-US"/>
        </w:rPr>
        <w:t xml:space="preserve">, together with some other scenarios which maintain the use of CPUE data in the OMP, but </w:t>
      </w:r>
      <w:r w:rsidR="00BC7C89">
        <w:rPr>
          <w:lang w:val="en-US"/>
        </w:rPr>
        <w:t>without</w:t>
      </w:r>
      <w:r w:rsidR="00D84112">
        <w:rPr>
          <w:lang w:val="en-US"/>
        </w:rPr>
        <w:t xml:space="preserve"> knowledge of whether and to what extent the MPA introduction has modified the CPUE</w:t>
      </w:r>
      <w:r w:rsidR="00BC7C89">
        <w:rPr>
          <w:lang w:val="en-US"/>
        </w:rPr>
        <w:t xml:space="preserve">. This modification </w:t>
      </w:r>
      <w:r w:rsidR="00D84112">
        <w:rPr>
          <w:lang w:val="en-US"/>
        </w:rPr>
        <w:t xml:space="preserve">is taken </w:t>
      </w:r>
      <w:r w:rsidR="00BC7C89">
        <w:rPr>
          <w:lang w:val="en-US"/>
        </w:rPr>
        <w:t xml:space="preserve">here </w:t>
      </w:r>
      <w:r w:rsidR="00D84112">
        <w:rPr>
          <w:lang w:val="en-US"/>
        </w:rPr>
        <w:t xml:space="preserve">to be </w:t>
      </w:r>
      <w:proofErr w:type="spellStart"/>
      <w:r w:rsidR="00D84112">
        <w:rPr>
          <w:lang w:val="en-US"/>
        </w:rPr>
        <w:t>representable</w:t>
      </w:r>
      <w:proofErr w:type="spellEnd"/>
      <w:r w:rsidR="00D84112">
        <w:rPr>
          <w:lang w:val="en-US"/>
        </w:rPr>
        <w:t xml:space="preserve"> by a change in the value of the catchability coefficient </w:t>
      </w:r>
      <w:r w:rsidR="00D84112" w:rsidRPr="00D84112">
        <w:rPr>
          <w:i/>
          <w:lang w:val="en-US"/>
        </w:rPr>
        <w:t>q</w:t>
      </w:r>
      <w:r w:rsidR="00D84112">
        <w:rPr>
          <w:lang w:val="en-US"/>
        </w:rPr>
        <w:t>.</w:t>
      </w:r>
    </w:p>
    <w:p w:rsidR="00AA3129" w:rsidRDefault="00AA3129" w:rsidP="00465852">
      <w:pPr>
        <w:spacing w:before="120" w:after="0"/>
        <w:jc w:val="both"/>
        <w:rPr>
          <w:lang w:val="en-US"/>
        </w:rPr>
      </w:pPr>
    </w:p>
    <w:p w:rsidR="008150E0" w:rsidRPr="006449C1" w:rsidRDefault="00D84112" w:rsidP="00465852">
      <w:pPr>
        <w:spacing w:before="120" w:after="0"/>
        <w:jc w:val="both"/>
        <w:rPr>
          <w:b/>
          <w:sz w:val="24"/>
          <w:szCs w:val="24"/>
          <w:lang w:val="en-US"/>
        </w:rPr>
      </w:pPr>
      <w:r>
        <w:rPr>
          <w:b/>
          <w:sz w:val="24"/>
          <w:szCs w:val="24"/>
          <w:lang w:val="en-US"/>
        </w:rPr>
        <w:t xml:space="preserve">Approach and </w:t>
      </w:r>
      <w:r w:rsidR="008150E0" w:rsidRPr="006449C1">
        <w:rPr>
          <w:b/>
          <w:sz w:val="24"/>
          <w:szCs w:val="24"/>
          <w:lang w:val="en-US"/>
        </w:rPr>
        <w:t>Results</w:t>
      </w:r>
    </w:p>
    <w:p w:rsidR="000C5BE0" w:rsidRPr="000C5BE0" w:rsidRDefault="000C5BE0" w:rsidP="000C5BE0">
      <w:pPr>
        <w:spacing w:before="120" w:after="0"/>
        <w:jc w:val="both"/>
        <w:rPr>
          <w:lang w:val="en-US"/>
        </w:rPr>
      </w:pPr>
      <w:r w:rsidRPr="000C5BE0">
        <w:rPr>
          <w:lang w:val="en-US"/>
        </w:rPr>
        <w:t xml:space="preserve">Table </w:t>
      </w:r>
      <w:r>
        <w:rPr>
          <w:lang w:val="en-US"/>
        </w:rPr>
        <w:t>1</w:t>
      </w:r>
      <w:r w:rsidRPr="000C5BE0">
        <w:rPr>
          <w:lang w:val="en-US"/>
        </w:rPr>
        <w:t xml:space="preserve"> shows the implications of applying </w:t>
      </w:r>
      <w:r w:rsidR="00D84112">
        <w:rPr>
          <w:lang w:val="en-US"/>
        </w:rPr>
        <w:t>a central</w:t>
      </w:r>
      <w:r>
        <w:rPr>
          <w:lang w:val="en-US"/>
        </w:rPr>
        <w:t xml:space="preserve"> </w:t>
      </w:r>
      <w:r w:rsidR="00D84112">
        <w:rPr>
          <w:lang w:val="en-US"/>
        </w:rPr>
        <w:t xml:space="preserve">new </w:t>
      </w:r>
      <w:r>
        <w:rPr>
          <w:lang w:val="en-US"/>
        </w:rPr>
        <w:t xml:space="preserve">hake OMP </w:t>
      </w:r>
      <w:r w:rsidR="00D84112">
        <w:rPr>
          <w:lang w:val="en-US"/>
        </w:rPr>
        <w:t xml:space="preserve">candidate </w:t>
      </w:r>
      <w:r>
        <w:rPr>
          <w:lang w:val="en-US"/>
        </w:rPr>
        <w:t>(CMPf1b)</w:t>
      </w:r>
      <w:r w:rsidRPr="000C5BE0">
        <w:rPr>
          <w:lang w:val="en-US"/>
        </w:rPr>
        <w:t xml:space="preserve"> if the comparability of CPUE data is compromised in various ways (whose magnitude or direction would </w:t>
      </w:r>
      <w:r w:rsidRPr="000C5BE0">
        <w:rPr>
          <w:lang w:val="en-US"/>
        </w:rPr>
        <w:lastRenderedPageBreak/>
        <w:t>not be known in practice) through the (immediate) introduction of MPAs. The specific possibilities examined are:</w:t>
      </w:r>
    </w:p>
    <w:p w:rsidR="000C5BE0" w:rsidRPr="000C5BE0" w:rsidRDefault="000C5BE0" w:rsidP="000C5BE0">
      <w:pPr>
        <w:numPr>
          <w:ilvl w:val="0"/>
          <w:numId w:val="2"/>
        </w:numPr>
        <w:spacing w:before="120" w:after="0"/>
        <w:jc w:val="both"/>
        <w:rPr>
          <w:lang w:val="en-US"/>
        </w:rPr>
      </w:pPr>
      <w:r w:rsidRPr="000C5BE0">
        <w:rPr>
          <w:lang w:val="en-US"/>
        </w:rPr>
        <w:t>Rob33a: no future CPUE data accepted for OMP input.</w:t>
      </w:r>
    </w:p>
    <w:p w:rsidR="000C5BE0" w:rsidRPr="000C5BE0" w:rsidRDefault="000C5BE0" w:rsidP="000C5BE0">
      <w:pPr>
        <w:numPr>
          <w:ilvl w:val="0"/>
          <w:numId w:val="2"/>
        </w:numPr>
        <w:spacing w:before="120" w:after="0"/>
        <w:jc w:val="both"/>
        <w:rPr>
          <w:lang w:val="en-US"/>
        </w:rPr>
      </w:pPr>
      <w:r w:rsidRPr="000C5BE0">
        <w:rPr>
          <w:lang w:val="en-US"/>
        </w:rPr>
        <w:t xml:space="preserve">Rob33b: new CPUE with prior on q: For each 20-year simulation, the change in </w:t>
      </w:r>
      <w:proofErr w:type="spellStart"/>
      <w:r w:rsidRPr="000C5BE0">
        <w:rPr>
          <w:lang w:val="en-US"/>
        </w:rPr>
        <w:t>ln</w:t>
      </w:r>
      <w:r w:rsidRPr="000C5BE0">
        <w:rPr>
          <w:i/>
          <w:lang w:val="en-US"/>
        </w:rPr>
        <w:t>q</w:t>
      </w:r>
      <w:proofErr w:type="spellEnd"/>
      <w:r w:rsidRPr="000C5BE0">
        <w:rPr>
          <w:lang w:val="en-US"/>
        </w:rPr>
        <w:t xml:space="preserve"> is drawn from N(0;0.1</w:t>
      </w:r>
      <w:r w:rsidRPr="000C5BE0">
        <w:rPr>
          <w:vertAlign w:val="superscript"/>
          <w:lang w:val="en-US"/>
        </w:rPr>
        <w:t>2</w:t>
      </w:r>
      <w:r w:rsidRPr="000C5BE0">
        <w:rPr>
          <w:lang w:val="en-US"/>
        </w:rPr>
        <w:t xml:space="preserve">): </w:t>
      </w:r>
      <w:r w:rsidRPr="000C5BE0">
        <w:rPr>
          <w:rFonts w:cs="Calibri"/>
          <w:position w:val="-24"/>
          <w:lang w:val="en-US"/>
        </w:rPr>
        <w:tab/>
      </w:r>
      <w:r w:rsidRPr="00832D95">
        <w:rPr>
          <w:rFonts w:cs="Calibri"/>
          <w:position w:val="-10"/>
        </w:rPr>
        <w:object w:dxaOrig="1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75pt" o:ole="">
            <v:imagedata r:id="rId7" o:title=""/>
          </v:shape>
          <o:OLEObject Type="Embed" ProgID="Equation.3" ShapeID="_x0000_i1025" DrawAspect="Content" ObjectID="_1352212372" r:id="rId8"/>
        </w:object>
      </w:r>
      <w:r w:rsidRPr="000C5BE0">
        <w:rPr>
          <w:rFonts w:cs="Calibri"/>
          <w:position w:val="-24"/>
          <w:lang w:val="en-US"/>
        </w:rPr>
        <w:t xml:space="preserve"> </w:t>
      </w:r>
      <w:r w:rsidRPr="000C5BE0">
        <w:rPr>
          <w:lang w:val="en-US"/>
        </w:rPr>
        <w:t xml:space="preserve">where </w:t>
      </w:r>
      <w:r w:rsidRPr="00E51A3D">
        <w:rPr>
          <w:rFonts w:cs="Calibri"/>
          <w:position w:val="-6"/>
        </w:rPr>
        <w:object w:dxaOrig="279" w:dyaOrig="320">
          <v:shape id="_x0000_i1026" type="#_x0000_t75" style="width:12.75pt;height:15.75pt" o:ole="">
            <v:imagedata r:id="rId9" o:title=""/>
          </v:shape>
          <o:OLEObject Type="Embed" ProgID="Equation.3" ShapeID="_x0000_i1026" DrawAspect="Content" ObjectID="_1352212373" r:id="rId10"/>
        </w:object>
      </w:r>
      <w:r w:rsidRPr="000C5BE0">
        <w:rPr>
          <w:rFonts w:cs="Calibri"/>
          <w:position w:val="-24"/>
          <w:lang w:val="en-US"/>
        </w:rPr>
        <w:t xml:space="preserve"> </w:t>
      </w:r>
      <w:r w:rsidRPr="000C5BE0">
        <w:rPr>
          <w:lang w:val="en-US"/>
        </w:rPr>
        <w:t xml:space="preserve">from </w:t>
      </w:r>
      <w:r w:rsidRPr="00E51A3D">
        <w:rPr>
          <w:rFonts w:cs="Calibri"/>
          <w:position w:val="-10"/>
        </w:rPr>
        <w:object w:dxaOrig="960" w:dyaOrig="360">
          <v:shape id="_x0000_i1027" type="#_x0000_t75" style="width:48pt;height:18.75pt" o:ole="">
            <v:imagedata r:id="rId11" o:title=""/>
          </v:shape>
          <o:OLEObject Type="Embed" ProgID="Equation.3" ShapeID="_x0000_i1027" DrawAspect="Content" ObjectID="_1352212374" r:id="rId12"/>
        </w:object>
      </w:r>
      <w:r w:rsidRPr="000C5BE0">
        <w:rPr>
          <w:lang w:val="en-US"/>
        </w:rPr>
        <w:t xml:space="preserve"> </w:t>
      </w:r>
    </w:p>
    <w:p w:rsidR="000C5BE0" w:rsidRPr="000C5BE0" w:rsidRDefault="000C5BE0" w:rsidP="000C5BE0">
      <w:pPr>
        <w:numPr>
          <w:ilvl w:val="0"/>
          <w:numId w:val="3"/>
        </w:numPr>
        <w:spacing w:before="120" w:after="0"/>
        <w:jc w:val="both"/>
        <w:rPr>
          <w:lang w:val="en-US"/>
        </w:rPr>
      </w:pPr>
      <w:r w:rsidRPr="000C5BE0">
        <w:rPr>
          <w:lang w:val="en-US"/>
        </w:rPr>
        <w:t xml:space="preserve">Rob33c: new CPUE with lower </w:t>
      </w:r>
      <w:r w:rsidRPr="000C5BE0">
        <w:rPr>
          <w:i/>
          <w:lang w:val="en-US"/>
        </w:rPr>
        <w:t>q</w:t>
      </w:r>
      <w:r w:rsidRPr="000C5BE0">
        <w:rPr>
          <w:lang w:val="en-US"/>
        </w:rPr>
        <w:t>:</w:t>
      </w:r>
      <w:r>
        <w:rPr>
          <w:lang w:val="en-US"/>
        </w:rPr>
        <w:t xml:space="preserve">  </w:t>
      </w:r>
      <w:r w:rsidRPr="00832D95">
        <w:rPr>
          <w:rFonts w:cs="Calibri"/>
          <w:position w:val="-10"/>
        </w:rPr>
        <w:object w:dxaOrig="2060" w:dyaOrig="360">
          <v:shape id="_x0000_i1028" type="#_x0000_t75" style="width:102.75pt;height:18.75pt" o:ole="">
            <v:imagedata r:id="rId13" o:title=""/>
          </v:shape>
          <o:OLEObject Type="Embed" ProgID="Equation.3" ShapeID="_x0000_i1028" DrawAspect="Content" ObjectID="_1352212375" r:id="rId14"/>
        </w:object>
      </w:r>
    </w:p>
    <w:p w:rsidR="000C5BE0" w:rsidRPr="000C5BE0" w:rsidRDefault="000C5BE0" w:rsidP="000C5BE0">
      <w:pPr>
        <w:numPr>
          <w:ilvl w:val="0"/>
          <w:numId w:val="3"/>
        </w:numPr>
        <w:spacing w:before="120" w:after="0"/>
        <w:jc w:val="both"/>
        <w:rPr>
          <w:lang w:val="en-US"/>
        </w:rPr>
      </w:pPr>
      <w:r w:rsidRPr="000C5BE0">
        <w:rPr>
          <w:lang w:val="en-US"/>
        </w:rPr>
        <w:t xml:space="preserve">Rob33d: new CPUE with higher </w:t>
      </w:r>
      <w:r w:rsidRPr="000C5BE0">
        <w:rPr>
          <w:i/>
          <w:lang w:val="en-US"/>
        </w:rPr>
        <w:t>q</w:t>
      </w:r>
      <w:r w:rsidRPr="000C5BE0">
        <w:rPr>
          <w:lang w:val="en-US"/>
        </w:rPr>
        <w:t>:</w:t>
      </w:r>
      <w:r>
        <w:rPr>
          <w:lang w:val="en-US"/>
        </w:rPr>
        <w:t xml:space="preserve">  </w:t>
      </w:r>
      <w:r w:rsidRPr="00832D95">
        <w:rPr>
          <w:rFonts w:cs="Calibri"/>
          <w:position w:val="-10"/>
        </w:rPr>
        <w:object w:dxaOrig="2060" w:dyaOrig="360">
          <v:shape id="_x0000_i1029" type="#_x0000_t75" style="width:102.75pt;height:18.75pt" o:ole="">
            <v:imagedata r:id="rId15" o:title=""/>
          </v:shape>
          <o:OLEObject Type="Embed" ProgID="Equation.3" ShapeID="_x0000_i1029" DrawAspect="Content" ObjectID="_1352212376" r:id="rId16"/>
        </w:object>
      </w:r>
    </w:p>
    <w:p w:rsidR="000C5BE0" w:rsidRPr="000C5BE0" w:rsidRDefault="00D84112" w:rsidP="00D84112">
      <w:pPr>
        <w:spacing w:before="120" w:after="0"/>
        <w:jc w:val="both"/>
        <w:rPr>
          <w:lang w:val="en-US"/>
        </w:rPr>
      </w:pPr>
      <w:r>
        <w:rPr>
          <w:lang w:val="en-US"/>
        </w:rPr>
        <w:t xml:space="preserve">The last three possibilities consider a change in </w:t>
      </w:r>
      <w:r w:rsidRPr="00D84112">
        <w:rPr>
          <w:i/>
          <w:lang w:val="en-US"/>
        </w:rPr>
        <w:t>q</w:t>
      </w:r>
      <w:r>
        <w:rPr>
          <w:lang w:val="en-US"/>
        </w:rPr>
        <w:t xml:space="preserve"> that could be anywhere in a wide range summarized by a CV of </w:t>
      </w:r>
      <w:r w:rsidR="00BC7C89">
        <w:rPr>
          <w:lang w:val="en-US"/>
        </w:rPr>
        <w:t xml:space="preserve">about </w:t>
      </w:r>
      <w:r>
        <w:rPr>
          <w:lang w:val="en-US"/>
        </w:rPr>
        <w:t xml:space="preserve">10%, or fixed changes in </w:t>
      </w:r>
      <w:r w:rsidRPr="00D84112">
        <w:rPr>
          <w:i/>
          <w:lang w:val="en-US"/>
        </w:rPr>
        <w:t>q</w:t>
      </w:r>
      <w:r>
        <w:rPr>
          <w:lang w:val="en-US"/>
        </w:rPr>
        <w:t xml:space="preserve"> of </w:t>
      </w:r>
      <w:r w:rsidR="00BC7C89">
        <w:rPr>
          <w:lang w:val="en-US"/>
        </w:rPr>
        <w:t xml:space="preserve">about </w:t>
      </w:r>
      <w:r>
        <w:rPr>
          <w:lang w:val="en-US"/>
        </w:rPr>
        <w:t xml:space="preserve">20% either up or down. Clearly the size assumed for any change affects the results to follow, so that these sizes need to be realistic. The CV </w:t>
      </w:r>
      <w:r w:rsidR="002E27DC">
        <w:rPr>
          <w:lang w:val="en-US"/>
        </w:rPr>
        <w:t xml:space="preserve">and change </w:t>
      </w:r>
      <w:r>
        <w:rPr>
          <w:lang w:val="en-US"/>
        </w:rPr>
        <w:t>values assumed would not seem implausible, given that annual hake CPUE values show a CV about underlying trends of some 15%</w:t>
      </w:r>
      <w:r w:rsidR="00FC066D">
        <w:rPr>
          <w:lang w:val="en-US"/>
        </w:rPr>
        <w:t>-25%</w:t>
      </w:r>
      <w:r>
        <w:rPr>
          <w:lang w:val="en-US"/>
        </w:rPr>
        <w:t xml:space="preserve">, so that changes of these magnitudes would </w:t>
      </w:r>
      <w:r w:rsidR="002E27DC">
        <w:rPr>
          <w:lang w:val="en-US"/>
        </w:rPr>
        <w:t xml:space="preserve">also </w:t>
      </w:r>
      <w:r>
        <w:rPr>
          <w:lang w:val="en-US"/>
        </w:rPr>
        <w:t>not be immediately apparent in the new data forthcoming after MPA introduction.</w:t>
      </w:r>
    </w:p>
    <w:p w:rsidR="000C5BE0" w:rsidRPr="000C5BE0" w:rsidRDefault="000C5BE0" w:rsidP="000C5BE0">
      <w:pPr>
        <w:spacing w:before="120" w:after="0"/>
        <w:jc w:val="both"/>
        <w:rPr>
          <w:lang w:val="en-US"/>
        </w:rPr>
      </w:pPr>
      <w:r w:rsidRPr="000C5BE0">
        <w:rPr>
          <w:lang w:val="en-US"/>
        </w:rPr>
        <w:t xml:space="preserve">Note that </w:t>
      </w:r>
      <w:r w:rsidR="00BC7C89">
        <w:rPr>
          <w:lang w:val="en-US"/>
        </w:rPr>
        <w:t xml:space="preserve">since </w:t>
      </w:r>
      <w:r w:rsidRPr="000C5BE0">
        <w:rPr>
          <w:lang w:val="en-US"/>
        </w:rPr>
        <w:t xml:space="preserve">the fact that </w:t>
      </w:r>
      <w:r w:rsidRPr="000C5BE0">
        <w:rPr>
          <w:i/>
          <w:lang w:val="en-US"/>
        </w:rPr>
        <w:t xml:space="preserve">q </w:t>
      </w:r>
      <w:r w:rsidRPr="000C5BE0">
        <w:rPr>
          <w:lang w:val="en-US"/>
        </w:rPr>
        <w:t>has changed is not known,</w:t>
      </w:r>
      <w:r w:rsidR="00BC7C89">
        <w:rPr>
          <w:lang w:val="en-US"/>
        </w:rPr>
        <w:t xml:space="preserve"> this is</w:t>
      </w:r>
      <w:r w:rsidRPr="000C5BE0">
        <w:rPr>
          <w:lang w:val="en-US"/>
        </w:rPr>
        <w:t xml:space="preserve"> not known either to the </w:t>
      </w:r>
      <w:r w:rsidR="00D84112">
        <w:rPr>
          <w:lang w:val="en-US"/>
        </w:rPr>
        <w:t>O</w:t>
      </w:r>
      <w:r w:rsidRPr="000C5BE0">
        <w:rPr>
          <w:lang w:val="en-US"/>
        </w:rPr>
        <w:t>MP in place.</w:t>
      </w:r>
    </w:p>
    <w:p w:rsidR="000C5BE0" w:rsidRDefault="000C5BE0" w:rsidP="000C5BE0">
      <w:pPr>
        <w:spacing w:before="120" w:after="0"/>
        <w:jc w:val="both"/>
        <w:rPr>
          <w:lang w:val="en-US"/>
        </w:rPr>
      </w:pPr>
      <w:r>
        <w:rPr>
          <w:lang w:val="en-US"/>
        </w:rPr>
        <w:t xml:space="preserve">Results are also shown </w:t>
      </w:r>
      <w:r w:rsidR="00BC7C89">
        <w:rPr>
          <w:lang w:val="en-US"/>
        </w:rPr>
        <w:t xml:space="preserve">for </w:t>
      </w:r>
      <w:r>
        <w:rPr>
          <w:lang w:val="en-US"/>
        </w:rPr>
        <w:t xml:space="preserve">when the OMP is </w:t>
      </w:r>
      <w:proofErr w:type="spellStart"/>
      <w:r>
        <w:rPr>
          <w:lang w:val="en-US"/>
        </w:rPr>
        <w:t>retuned</w:t>
      </w:r>
      <w:proofErr w:type="spellEnd"/>
      <w:r>
        <w:rPr>
          <w:lang w:val="en-US"/>
        </w:rPr>
        <w:t xml:space="preserve"> to the same risk level as for </w:t>
      </w:r>
      <w:proofErr w:type="spellStart"/>
      <w:r>
        <w:rPr>
          <w:lang w:val="en-US"/>
        </w:rPr>
        <w:t>RSa</w:t>
      </w:r>
      <w:proofErr w:type="spellEnd"/>
      <w:r>
        <w:rPr>
          <w:lang w:val="en-US"/>
        </w:rPr>
        <w:t xml:space="preserve"> under CMPf1b, where the "risk level" is first taken as </w:t>
      </w:r>
      <w:r w:rsidRPr="000C5BE0">
        <w:rPr>
          <w:i/>
          <w:lang w:val="en-US"/>
        </w:rPr>
        <w:t xml:space="preserve">M. </w:t>
      </w:r>
      <w:proofErr w:type="spellStart"/>
      <w:r w:rsidRPr="000C5BE0">
        <w:rPr>
          <w:i/>
          <w:lang w:val="en-US"/>
        </w:rPr>
        <w:t>paradoxus</w:t>
      </w:r>
      <w:proofErr w:type="spellEnd"/>
      <w:r>
        <w:rPr>
          <w:lang w:val="en-US"/>
        </w:rPr>
        <w:t xml:space="preserve"> </w:t>
      </w:r>
      <w:proofErr w:type="spellStart"/>
      <w:r w:rsidRPr="000C5BE0">
        <w:rPr>
          <w:i/>
          <w:lang w:val="en-US"/>
        </w:rPr>
        <w:t>B</w:t>
      </w:r>
      <w:r w:rsidRPr="000C5BE0">
        <w:rPr>
          <w:i/>
          <w:vertAlign w:val="superscript"/>
          <w:lang w:val="en-US"/>
        </w:rPr>
        <w:t>sp</w:t>
      </w:r>
      <w:r w:rsidRPr="000C5BE0">
        <w:rPr>
          <w:vertAlign w:val="subscript"/>
          <w:lang w:val="en-US"/>
        </w:rPr>
        <w:t>low</w:t>
      </w:r>
      <w:proofErr w:type="spellEnd"/>
      <w:r>
        <w:rPr>
          <w:lang w:val="en-US"/>
        </w:rPr>
        <w:t>/</w:t>
      </w:r>
      <w:r w:rsidRPr="000C5BE0">
        <w:rPr>
          <w:i/>
          <w:lang w:val="en-US"/>
        </w:rPr>
        <w:t>B</w:t>
      </w:r>
      <w:r w:rsidRPr="000C5BE0">
        <w:rPr>
          <w:i/>
          <w:vertAlign w:val="superscript"/>
          <w:lang w:val="en-US"/>
        </w:rPr>
        <w:t>sp</w:t>
      </w:r>
      <w:r w:rsidRPr="000C5BE0">
        <w:rPr>
          <w:vertAlign w:val="subscript"/>
          <w:lang w:val="en-US"/>
        </w:rPr>
        <w:t>2010</w:t>
      </w:r>
      <w:r>
        <w:rPr>
          <w:lang w:val="en-US"/>
        </w:rPr>
        <w:t xml:space="preserve"> (i.e. 0.72) and then as </w:t>
      </w:r>
      <w:r w:rsidRPr="000C5BE0">
        <w:rPr>
          <w:i/>
          <w:lang w:val="en-US"/>
        </w:rPr>
        <w:t>M. paradoxus</w:t>
      </w:r>
      <w:r>
        <w:rPr>
          <w:lang w:val="en-US"/>
        </w:rPr>
        <w:t xml:space="preserve"> </w:t>
      </w:r>
      <w:r w:rsidRPr="000C5BE0">
        <w:rPr>
          <w:i/>
          <w:lang w:val="en-US"/>
        </w:rPr>
        <w:t>B</w:t>
      </w:r>
      <w:r w:rsidRPr="000C5BE0">
        <w:rPr>
          <w:i/>
          <w:vertAlign w:val="superscript"/>
          <w:lang w:val="en-US"/>
        </w:rPr>
        <w:t>sp</w:t>
      </w:r>
      <w:r>
        <w:rPr>
          <w:vertAlign w:val="subscript"/>
          <w:lang w:val="en-US"/>
        </w:rPr>
        <w:t>2030</w:t>
      </w:r>
      <w:r>
        <w:rPr>
          <w:lang w:val="en-US"/>
        </w:rPr>
        <w:t>/</w:t>
      </w:r>
      <w:r w:rsidRPr="000C5BE0">
        <w:rPr>
          <w:i/>
          <w:lang w:val="en-US"/>
        </w:rPr>
        <w:t>B</w:t>
      </w:r>
      <w:r w:rsidRPr="000C5BE0">
        <w:rPr>
          <w:i/>
          <w:vertAlign w:val="superscript"/>
          <w:lang w:val="en-US"/>
        </w:rPr>
        <w:t>sp</w:t>
      </w:r>
      <w:r w:rsidRPr="000C5BE0">
        <w:rPr>
          <w:vertAlign w:val="subscript"/>
          <w:lang w:val="en-US"/>
        </w:rPr>
        <w:t>2010</w:t>
      </w:r>
      <w:r>
        <w:rPr>
          <w:lang w:val="en-US"/>
        </w:rPr>
        <w:t xml:space="preserve"> (i.e. 1.27)</w:t>
      </w:r>
      <w:r w:rsidR="002E27DC">
        <w:rPr>
          <w:lang w:val="en-US"/>
        </w:rPr>
        <w:t>, both pertaining to lower 2.5%iles</w:t>
      </w:r>
      <w:r>
        <w:rPr>
          <w:lang w:val="en-US"/>
        </w:rPr>
        <w:t>.</w:t>
      </w:r>
    </w:p>
    <w:p w:rsidR="000C5BE0" w:rsidRPr="000C5BE0" w:rsidRDefault="000C5BE0" w:rsidP="000C5BE0">
      <w:pPr>
        <w:spacing w:before="120" w:after="0"/>
        <w:jc w:val="both"/>
        <w:rPr>
          <w:lang w:val="en-US"/>
        </w:rPr>
      </w:pPr>
      <w:r>
        <w:rPr>
          <w:lang w:val="en-US"/>
        </w:rPr>
        <w:t xml:space="preserve">Figs 1-3 compare the median catch trajectories, the lower 2.5%ile spawning biomass </w:t>
      </w:r>
      <w:r w:rsidR="00BC7C89">
        <w:rPr>
          <w:lang w:val="en-US"/>
        </w:rPr>
        <w:t>envelopes</w:t>
      </w:r>
      <w:r>
        <w:rPr>
          <w:lang w:val="en-US"/>
        </w:rPr>
        <w:t xml:space="preserve"> for </w:t>
      </w:r>
      <w:r w:rsidRPr="000C5BE0">
        <w:rPr>
          <w:i/>
          <w:lang w:val="en-US"/>
        </w:rPr>
        <w:t xml:space="preserve">M. </w:t>
      </w:r>
      <w:proofErr w:type="spellStart"/>
      <w:r w:rsidRPr="000C5BE0">
        <w:rPr>
          <w:i/>
          <w:lang w:val="en-US"/>
        </w:rPr>
        <w:t>paradoxus</w:t>
      </w:r>
      <w:proofErr w:type="spellEnd"/>
      <w:r>
        <w:rPr>
          <w:lang w:val="en-US"/>
        </w:rPr>
        <w:t xml:space="preserve"> </w:t>
      </w:r>
      <w:r w:rsidR="00BC7C89">
        <w:rPr>
          <w:lang w:val="en-US"/>
        </w:rPr>
        <w:t xml:space="preserve">spawning biomass </w:t>
      </w:r>
      <w:r>
        <w:rPr>
          <w:lang w:val="en-US"/>
        </w:rPr>
        <w:t xml:space="preserve">relative to </w:t>
      </w:r>
      <w:r w:rsidR="00BC7C89">
        <w:rPr>
          <w:lang w:val="en-US"/>
        </w:rPr>
        <w:t>its</w:t>
      </w:r>
      <w:r>
        <w:rPr>
          <w:lang w:val="en-US"/>
        </w:rPr>
        <w:t xml:space="preserve"> 2010 level and to MSYL.</w:t>
      </w:r>
    </w:p>
    <w:p w:rsidR="008150E0" w:rsidRDefault="008150E0" w:rsidP="00465852">
      <w:pPr>
        <w:spacing w:before="120" w:after="0"/>
        <w:jc w:val="both"/>
        <w:rPr>
          <w:lang w:val="en-US"/>
        </w:rPr>
      </w:pPr>
    </w:p>
    <w:p w:rsidR="008150E0" w:rsidRPr="006449C1" w:rsidRDefault="008150E0" w:rsidP="00465852">
      <w:pPr>
        <w:spacing w:before="120" w:after="0"/>
        <w:jc w:val="both"/>
        <w:rPr>
          <w:b/>
          <w:sz w:val="24"/>
          <w:szCs w:val="24"/>
          <w:lang w:val="en-US"/>
        </w:rPr>
      </w:pPr>
      <w:r w:rsidRPr="006449C1">
        <w:rPr>
          <w:b/>
          <w:sz w:val="24"/>
          <w:szCs w:val="24"/>
          <w:lang w:val="en-US"/>
        </w:rPr>
        <w:t>Discussion</w:t>
      </w:r>
    </w:p>
    <w:p w:rsidR="008150E0" w:rsidRDefault="00D84112" w:rsidP="00465852">
      <w:pPr>
        <w:spacing w:before="120" w:after="0"/>
        <w:jc w:val="both"/>
        <w:rPr>
          <w:lang w:val="en-US"/>
        </w:rPr>
      </w:pPr>
      <w:r>
        <w:rPr>
          <w:lang w:val="en-US"/>
        </w:rPr>
        <w:t>Results fo</w:t>
      </w:r>
      <w:r w:rsidR="008D1988">
        <w:rPr>
          <w:lang w:val="en-US"/>
        </w:rPr>
        <w:t>r</w:t>
      </w:r>
      <w:r>
        <w:rPr>
          <w:lang w:val="en-US"/>
        </w:rPr>
        <w:t xml:space="preserve"> the</w:t>
      </w:r>
      <w:r w:rsidR="008D1988">
        <w:rPr>
          <w:lang w:val="en-US"/>
        </w:rPr>
        <w:t xml:space="preserve"> four MPA-introduction possibilities, with no retuning of CMPf1b, are pretty much as expected when compared to those under the RS: catches drop if </w:t>
      </w:r>
      <w:r w:rsidR="008D1988" w:rsidRPr="008D1988">
        <w:rPr>
          <w:i/>
          <w:lang w:val="en-US"/>
        </w:rPr>
        <w:t xml:space="preserve">q </w:t>
      </w:r>
      <w:r w:rsidR="008D1988">
        <w:rPr>
          <w:lang w:val="en-US"/>
        </w:rPr>
        <w:t xml:space="preserve">decreases (Rob33c), but increase appreciably if </w:t>
      </w:r>
      <w:r w:rsidR="008D1988" w:rsidRPr="008D1988">
        <w:rPr>
          <w:i/>
          <w:lang w:val="en-US"/>
        </w:rPr>
        <w:t>q</w:t>
      </w:r>
      <w:r w:rsidR="008D1988">
        <w:rPr>
          <w:lang w:val="en-US"/>
        </w:rPr>
        <w:t xml:space="preserve"> increases (Rob33d), and </w:t>
      </w:r>
      <w:r w:rsidR="00BC7C89">
        <w:rPr>
          <w:lang w:val="en-US"/>
        </w:rPr>
        <w:t xml:space="preserve">in this case </w:t>
      </w:r>
      <w:r w:rsidR="008D1988">
        <w:rPr>
          <w:lang w:val="en-US"/>
        </w:rPr>
        <w:t xml:space="preserve">to such an extent that the risk of high depletion of the </w:t>
      </w:r>
      <w:r w:rsidR="008D1988" w:rsidRPr="008D1988">
        <w:rPr>
          <w:i/>
          <w:lang w:val="en-US"/>
        </w:rPr>
        <w:t>M. paradoxus</w:t>
      </w:r>
      <w:r w:rsidR="008D1988">
        <w:rPr>
          <w:lang w:val="en-US"/>
        </w:rPr>
        <w:t xml:space="preserve"> stock is substantially increased (see Table 1 and Fig. 1).</w:t>
      </w:r>
    </w:p>
    <w:p w:rsidR="008D1988" w:rsidRDefault="008D1988" w:rsidP="00465852">
      <w:pPr>
        <w:spacing w:before="120" w:after="0"/>
        <w:jc w:val="both"/>
        <w:rPr>
          <w:lang w:val="en-US"/>
        </w:rPr>
      </w:pPr>
      <w:r>
        <w:rPr>
          <w:lang w:val="en-US"/>
        </w:rPr>
        <w:t xml:space="preserve">The first set of </w:t>
      </w:r>
      <w:proofErr w:type="spellStart"/>
      <w:r>
        <w:rPr>
          <w:lang w:val="en-US"/>
        </w:rPr>
        <w:t>retuning</w:t>
      </w:r>
      <w:r w:rsidR="00E30265">
        <w:rPr>
          <w:lang w:val="en-US"/>
        </w:rPr>
        <w:t>s</w:t>
      </w:r>
      <w:proofErr w:type="spellEnd"/>
      <w:r>
        <w:rPr>
          <w:lang w:val="en-US"/>
        </w:rPr>
        <w:t xml:space="preserve"> considered – to the same “low </w:t>
      </w:r>
      <w:proofErr w:type="spellStart"/>
      <w:r>
        <w:rPr>
          <w:lang w:val="en-US"/>
        </w:rPr>
        <w:t>para</w:t>
      </w:r>
      <w:proofErr w:type="spellEnd"/>
      <w:r>
        <w:rPr>
          <w:lang w:val="en-US"/>
        </w:rPr>
        <w:t xml:space="preserve">” statistic (lower 2.5%ile for the lowest spawning biomass compared to 2010) as under the RS </w:t>
      </w:r>
      <w:r w:rsidR="00E30265">
        <w:rPr>
          <w:lang w:val="en-US"/>
        </w:rPr>
        <w:t xml:space="preserve">- </w:t>
      </w:r>
      <w:r>
        <w:rPr>
          <w:lang w:val="en-US"/>
        </w:rPr>
        <w:t>produce some perhaps unexpected results, in that the median average TAC for the next ten years is little changed (Table 1). However, on closer inspection (see Fig.2) some problems are evident. First in a risk context, though initially the lower 2.5%ile for the spawning biomass probability interval</w:t>
      </w:r>
      <w:r w:rsidR="00D75BF0">
        <w:rPr>
          <w:lang w:val="en-US"/>
        </w:rPr>
        <w:t xml:space="preserve"> envelope increases similarly to t</w:t>
      </w:r>
      <w:r w:rsidR="00E30265">
        <w:rPr>
          <w:lang w:val="en-US"/>
        </w:rPr>
        <w:t>hat for t</w:t>
      </w:r>
      <w:r w:rsidR="00D75BF0">
        <w:rPr>
          <w:lang w:val="en-US"/>
        </w:rPr>
        <w:t>he RS</w:t>
      </w:r>
      <w:proofErr w:type="gramStart"/>
      <w:r w:rsidR="00D75BF0">
        <w:rPr>
          <w:lang w:val="en-US"/>
        </w:rPr>
        <w:t>, ,</w:t>
      </w:r>
      <w:proofErr w:type="gramEnd"/>
      <w:r w:rsidR="00D75BF0">
        <w:rPr>
          <w:lang w:val="en-US"/>
        </w:rPr>
        <w:t xml:space="preserve"> after about 8 years th</w:t>
      </w:r>
      <w:r w:rsidR="002E27DC">
        <w:rPr>
          <w:lang w:val="en-US"/>
        </w:rPr>
        <w:t>e</w:t>
      </w:r>
      <w:r w:rsidR="00D75BF0">
        <w:rPr>
          <w:lang w:val="en-US"/>
        </w:rPr>
        <w:t xml:space="preserve"> continued improvement </w:t>
      </w:r>
      <w:r w:rsidR="002E27DC">
        <w:rPr>
          <w:lang w:val="en-US"/>
        </w:rPr>
        <w:t>that is</w:t>
      </w:r>
      <w:r w:rsidR="00D75BF0">
        <w:rPr>
          <w:lang w:val="en-US"/>
        </w:rPr>
        <w:t xml:space="preserve"> seen for the RS</w:t>
      </w:r>
      <w:r w:rsidR="00E30265" w:rsidRPr="00E30265">
        <w:rPr>
          <w:lang w:val="en-US"/>
        </w:rPr>
        <w:t xml:space="preserve"> </w:t>
      </w:r>
      <w:r w:rsidR="002E27DC">
        <w:rPr>
          <w:lang w:val="en-US"/>
        </w:rPr>
        <w:t>ceases (</w:t>
      </w:r>
      <w:r w:rsidR="00E30265">
        <w:rPr>
          <w:lang w:val="en-US"/>
        </w:rPr>
        <w:t>except for Rob33a where CPUE data are disregarded)</w:t>
      </w:r>
      <w:r w:rsidR="00D75BF0">
        <w:rPr>
          <w:lang w:val="en-US"/>
        </w:rPr>
        <w:t xml:space="preserve">. </w:t>
      </w:r>
      <w:r w:rsidR="00E30265">
        <w:rPr>
          <w:lang w:val="en-US"/>
        </w:rPr>
        <w:t xml:space="preserve">Such continued improvement is a feature of the </w:t>
      </w:r>
      <w:r w:rsidR="00E30265" w:rsidRPr="00E30265">
        <w:rPr>
          <w:i/>
          <w:lang w:val="en-US"/>
        </w:rPr>
        <w:t xml:space="preserve">M. </w:t>
      </w:r>
      <w:proofErr w:type="spellStart"/>
      <w:r w:rsidR="00E30265" w:rsidRPr="00E30265">
        <w:rPr>
          <w:i/>
          <w:lang w:val="en-US"/>
        </w:rPr>
        <w:t>paradoxus</w:t>
      </w:r>
      <w:proofErr w:type="spellEnd"/>
      <w:r w:rsidR="00E30265">
        <w:rPr>
          <w:lang w:val="en-US"/>
        </w:rPr>
        <w:t xml:space="preserve"> recovery strategy which has been a component of the motivation for continued MSC certification for the hake trawl fishery. </w:t>
      </w:r>
      <w:r w:rsidR="00D75BF0">
        <w:rPr>
          <w:lang w:val="en-US"/>
        </w:rPr>
        <w:t>Secondly</w:t>
      </w:r>
      <w:r w:rsidR="00E30265">
        <w:rPr>
          <w:lang w:val="en-US"/>
        </w:rPr>
        <w:t>,</w:t>
      </w:r>
      <w:r w:rsidR="00E54BB8">
        <w:rPr>
          <w:lang w:val="en-US"/>
        </w:rPr>
        <w:t xml:space="preserve"> apart from the no CPUE case for which median catches first increase rapidly and then decrease again, median catches stay near unchanged for about 5 years, and then increase rapidly to much higher levels than for the RS, i.e. the TAC does not change as smoothly over time</w:t>
      </w:r>
      <w:r w:rsidR="00E30265">
        <w:rPr>
          <w:lang w:val="en-US"/>
        </w:rPr>
        <w:t xml:space="preserve"> as for the RS</w:t>
      </w:r>
      <w:r w:rsidR="00E54BB8">
        <w:rPr>
          <w:lang w:val="en-US"/>
        </w:rPr>
        <w:t xml:space="preserve">. </w:t>
      </w:r>
    </w:p>
    <w:p w:rsidR="008D1988" w:rsidRDefault="00D75BF0" w:rsidP="00465852">
      <w:pPr>
        <w:spacing w:before="120" w:after="0"/>
        <w:jc w:val="both"/>
        <w:rPr>
          <w:lang w:val="en-US"/>
        </w:rPr>
      </w:pPr>
      <w:r>
        <w:rPr>
          <w:lang w:val="en-US"/>
        </w:rPr>
        <w:lastRenderedPageBreak/>
        <w:t xml:space="preserve">Risk comparability with the RS in this sense can be achieved by tuning instead to the same “low </w:t>
      </w:r>
      <w:proofErr w:type="spellStart"/>
      <w:r>
        <w:rPr>
          <w:lang w:val="en-US"/>
        </w:rPr>
        <w:t>para</w:t>
      </w:r>
      <w:proofErr w:type="spellEnd"/>
      <w:r>
        <w:rPr>
          <w:lang w:val="en-US"/>
        </w:rPr>
        <w:t>” value in 2030</w:t>
      </w:r>
      <w:r w:rsidR="00E54BB8">
        <w:rPr>
          <w:lang w:val="en-US"/>
        </w:rPr>
        <w:t xml:space="preserve">. The results are shown in Fig. 3 and evidence </w:t>
      </w:r>
      <w:r w:rsidR="009A4A59">
        <w:rPr>
          <w:lang w:val="en-US"/>
        </w:rPr>
        <w:t xml:space="preserve">an appreciable immediate </w:t>
      </w:r>
      <w:r w:rsidR="002E27DC">
        <w:rPr>
          <w:lang w:val="en-US"/>
        </w:rPr>
        <w:t xml:space="preserve">fall in </w:t>
      </w:r>
      <w:r w:rsidR="009A4A59">
        <w:rPr>
          <w:lang w:val="en-US"/>
        </w:rPr>
        <w:t xml:space="preserve">TAC for all scenarios except for the no CPUE case (Rob33a). Results for TACs in Table 1 show a </w:t>
      </w:r>
      <w:r w:rsidR="002E27DC">
        <w:rPr>
          <w:lang w:val="en-US"/>
        </w:rPr>
        <w:t>decrease</w:t>
      </w:r>
      <w:r w:rsidR="009A4A59">
        <w:rPr>
          <w:lang w:val="en-US"/>
        </w:rPr>
        <w:t xml:space="preserve"> in median average TAC for the next decade in about the 5-10% range, though this </w:t>
      </w:r>
      <w:r w:rsidR="003224AF">
        <w:rPr>
          <w:lang w:val="en-US"/>
        </w:rPr>
        <w:t xml:space="preserve">reduction </w:t>
      </w:r>
      <w:r w:rsidR="009A4A59">
        <w:rPr>
          <w:lang w:val="en-US"/>
        </w:rPr>
        <w:t>is rather more severe over the first five years. The no CPUE case</w:t>
      </w:r>
      <w:r w:rsidR="003224AF">
        <w:rPr>
          <w:lang w:val="en-US"/>
        </w:rPr>
        <w:t xml:space="preserve"> is again an exception</w:t>
      </w:r>
      <w:r w:rsidR="009A4A59">
        <w:rPr>
          <w:lang w:val="en-US"/>
        </w:rPr>
        <w:t xml:space="preserve">, </w:t>
      </w:r>
      <w:r w:rsidR="003224AF">
        <w:rPr>
          <w:lang w:val="en-US"/>
        </w:rPr>
        <w:t xml:space="preserve">with </w:t>
      </w:r>
      <w:r w:rsidR="009A4A59">
        <w:rPr>
          <w:lang w:val="en-US"/>
        </w:rPr>
        <w:t>TAC trends almost the reverse of those for the other three scenarios.</w:t>
      </w:r>
    </w:p>
    <w:p w:rsidR="003224AF" w:rsidRDefault="003224AF" w:rsidP="00465852">
      <w:pPr>
        <w:spacing w:before="120" w:after="0"/>
        <w:jc w:val="both"/>
        <w:rPr>
          <w:lang w:val="en-US"/>
        </w:rPr>
      </w:pPr>
    </w:p>
    <w:p w:rsidR="003224AF" w:rsidRPr="003224AF" w:rsidRDefault="003224AF" w:rsidP="00465852">
      <w:pPr>
        <w:spacing w:before="120" w:after="0"/>
        <w:jc w:val="both"/>
        <w:rPr>
          <w:b/>
          <w:sz w:val="24"/>
          <w:szCs w:val="24"/>
          <w:lang w:val="en-US"/>
        </w:rPr>
      </w:pPr>
      <w:r w:rsidRPr="003224AF">
        <w:rPr>
          <w:b/>
          <w:sz w:val="24"/>
          <w:szCs w:val="24"/>
          <w:lang w:val="en-US"/>
        </w:rPr>
        <w:t>Conclusion</w:t>
      </w:r>
    </w:p>
    <w:p w:rsidR="00A26302" w:rsidRPr="00A26302" w:rsidRDefault="003224AF" w:rsidP="002E27DC">
      <w:pPr>
        <w:spacing w:before="120" w:after="0"/>
        <w:jc w:val="both"/>
        <w:rPr>
          <w:lang w:val="en-US"/>
        </w:rPr>
      </w:pPr>
      <w:r>
        <w:rPr>
          <w:lang w:val="en-US"/>
        </w:rPr>
        <w:t xml:space="preserve">The broad indications of this initial analysis are that the introduction of MPAs and consequent OMP retuning </w:t>
      </w:r>
      <w:r w:rsidR="00A26302">
        <w:rPr>
          <w:lang w:val="en-US"/>
        </w:rPr>
        <w:t>to adjust for a possible impact on cat</w:t>
      </w:r>
      <w:r w:rsidR="002E27DC">
        <w:rPr>
          <w:lang w:val="en-US"/>
        </w:rPr>
        <w:t>c</w:t>
      </w:r>
      <w:r w:rsidR="00A26302">
        <w:rPr>
          <w:lang w:val="en-US"/>
        </w:rPr>
        <w:t xml:space="preserve">hability for CPUE series could necessitate annual hake TACs which are some 15-20 thousand tons lower than would otherwise be the case for the next five years to maintain the same risk levels for the </w:t>
      </w:r>
      <w:r w:rsidR="00A26302" w:rsidRPr="00A26302">
        <w:rPr>
          <w:i/>
          <w:lang w:val="en-US"/>
        </w:rPr>
        <w:t xml:space="preserve">M. </w:t>
      </w:r>
      <w:proofErr w:type="spellStart"/>
      <w:r w:rsidR="00A26302" w:rsidRPr="00A26302">
        <w:rPr>
          <w:i/>
          <w:lang w:val="en-US"/>
        </w:rPr>
        <w:t>paradoxus</w:t>
      </w:r>
      <w:proofErr w:type="spellEnd"/>
      <w:r w:rsidR="00A26302">
        <w:rPr>
          <w:lang w:val="en-US"/>
        </w:rPr>
        <w:t xml:space="preserve"> stock. </w:t>
      </w:r>
      <w:r w:rsidR="00A26302" w:rsidRPr="00A26302">
        <w:rPr>
          <w:lang w:val="en-US"/>
        </w:rPr>
        <w:t xml:space="preserve">Naturally this magnitude depends on the size of the change in </w:t>
      </w:r>
      <w:r w:rsidR="00A26302" w:rsidRPr="00A26302">
        <w:rPr>
          <w:i/>
          <w:lang w:val="en-US"/>
        </w:rPr>
        <w:t xml:space="preserve">q </w:t>
      </w:r>
      <w:r w:rsidR="00A26302" w:rsidRPr="00A26302">
        <w:rPr>
          <w:lang w:val="en-US"/>
        </w:rPr>
        <w:t>assumed (here some 20%).</w:t>
      </w:r>
    </w:p>
    <w:p w:rsidR="009A4A59" w:rsidRDefault="009A4A59" w:rsidP="00465852">
      <w:pPr>
        <w:spacing w:before="120" w:after="0"/>
        <w:jc w:val="both"/>
        <w:rPr>
          <w:lang w:val="en-US"/>
        </w:rPr>
      </w:pPr>
    </w:p>
    <w:p w:rsidR="00465852" w:rsidRDefault="00465852" w:rsidP="00465852">
      <w:pPr>
        <w:spacing w:before="120" w:after="0"/>
        <w:jc w:val="both"/>
        <w:rPr>
          <w:lang w:val="en-US"/>
        </w:rPr>
      </w:pPr>
    </w:p>
    <w:p w:rsidR="00465852" w:rsidRDefault="00465852" w:rsidP="00465852">
      <w:pPr>
        <w:spacing w:before="120" w:after="0"/>
        <w:jc w:val="both"/>
        <w:rPr>
          <w:lang w:val="en-US"/>
        </w:rPr>
        <w:sectPr w:rsidR="00465852" w:rsidSect="00465852">
          <w:headerReference w:type="default" r:id="rId17"/>
          <w:footerReference w:type="default" r:id="rId18"/>
          <w:pgSz w:w="11906" w:h="16838"/>
          <w:pgMar w:top="1417" w:right="1417" w:bottom="1417" w:left="1417" w:header="708" w:footer="708" w:gutter="0"/>
          <w:cols w:space="708"/>
          <w:docGrid w:linePitch="360"/>
        </w:sectPr>
      </w:pPr>
    </w:p>
    <w:p w:rsidR="00465852" w:rsidRPr="00465852" w:rsidRDefault="00DA0547" w:rsidP="00465852">
      <w:pPr>
        <w:spacing w:before="120" w:after="0"/>
        <w:jc w:val="both"/>
        <w:rPr>
          <w:rFonts w:ascii="Calibri" w:eastAsia="Calibri" w:hAnsi="Calibri" w:cs="Times New Roman"/>
          <w:lang w:val="en-US"/>
        </w:rPr>
      </w:pPr>
      <w:r w:rsidRPr="00465852">
        <w:rPr>
          <w:lang w:val="en-US"/>
        </w:rPr>
        <w:lastRenderedPageBreak/>
        <w:t>Table 1:</w:t>
      </w:r>
      <w:r w:rsidR="00465852" w:rsidRPr="00465852">
        <w:rPr>
          <w:lang w:val="en-US"/>
        </w:rPr>
        <w:t xml:space="preserve"> </w:t>
      </w:r>
      <w:r w:rsidR="00465852" w:rsidRPr="00465852">
        <w:rPr>
          <w:rFonts w:ascii="Calibri" w:eastAsia="Calibri" w:hAnsi="Calibri" w:cs="Times New Roman"/>
          <w:lang w:val="en-US"/>
        </w:rPr>
        <w:t>Projections results (either median</w:t>
      </w:r>
      <w:r w:rsidR="00465852">
        <w:rPr>
          <w:lang w:val="en-US"/>
        </w:rPr>
        <w:t xml:space="preserve"> or</w:t>
      </w:r>
      <w:r w:rsidR="00465852" w:rsidRPr="00465852">
        <w:rPr>
          <w:rFonts w:ascii="Calibri" w:eastAsia="Calibri" w:hAnsi="Calibri" w:cs="Times New Roman"/>
          <w:lang w:val="en-US"/>
        </w:rPr>
        <w:t xml:space="preserve"> lower 2.5%ile) for a series of performance statistics for the </w:t>
      </w:r>
      <w:r w:rsidR="00465852">
        <w:rPr>
          <w:lang w:val="en-US"/>
        </w:rPr>
        <w:t xml:space="preserve">RS and the four robustness tests under CMPf1b, CMPf1b tuned to </w:t>
      </w:r>
      <w:r w:rsidR="00465852" w:rsidRPr="00465852">
        <w:rPr>
          <w:i/>
          <w:lang w:val="en-US"/>
        </w:rPr>
        <w:t xml:space="preserve">M. </w:t>
      </w:r>
      <w:proofErr w:type="spellStart"/>
      <w:r w:rsidR="00465852" w:rsidRPr="00465852">
        <w:rPr>
          <w:i/>
          <w:lang w:val="en-US"/>
        </w:rPr>
        <w:t>paradoxus</w:t>
      </w:r>
      <w:proofErr w:type="spellEnd"/>
      <w:r w:rsidR="00465852">
        <w:rPr>
          <w:lang w:val="en-US"/>
        </w:rPr>
        <w:t xml:space="preserve"> </w:t>
      </w:r>
      <w:proofErr w:type="spellStart"/>
      <w:r w:rsidR="00465852" w:rsidRPr="00465852">
        <w:rPr>
          <w:i/>
          <w:lang w:val="en-US"/>
        </w:rPr>
        <w:t>B</w:t>
      </w:r>
      <w:r w:rsidR="00465852" w:rsidRPr="00465852">
        <w:rPr>
          <w:i/>
          <w:vertAlign w:val="superscript"/>
          <w:lang w:val="en-US"/>
        </w:rPr>
        <w:t>sp</w:t>
      </w:r>
      <w:r w:rsidR="00465852" w:rsidRPr="00465852">
        <w:rPr>
          <w:vertAlign w:val="subscript"/>
          <w:lang w:val="en-US"/>
        </w:rPr>
        <w:t>low</w:t>
      </w:r>
      <w:proofErr w:type="spellEnd"/>
      <w:r w:rsidR="00465852">
        <w:rPr>
          <w:lang w:val="en-US"/>
        </w:rPr>
        <w:t>/</w:t>
      </w:r>
      <w:r w:rsidR="00465852" w:rsidRPr="00465852">
        <w:rPr>
          <w:i/>
          <w:lang w:val="en-US"/>
        </w:rPr>
        <w:t>B</w:t>
      </w:r>
      <w:r w:rsidR="00465852" w:rsidRPr="00465852">
        <w:rPr>
          <w:i/>
          <w:vertAlign w:val="superscript"/>
          <w:lang w:val="en-US"/>
        </w:rPr>
        <w:t>sp</w:t>
      </w:r>
      <w:r w:rsidR="00465852" w:rsidRPr="00465852">
        <w:rPr>
          <w:vertAlign w:val="subscript"/>
          <w:lang w:val="en-US"/>
        </w:rPr>
        <w:t>2010</w:t>
      </w:r>
      <w:r w:rsidR="00465852">
        <w:rPr>
          <w:lang w:val="en-US"/>
        </w:rPr>
        <w:t xml:space="preserve"> and CMPf1b tuned to </w:t>
      </w:r>
      <w:r w:rsidR="00465852" w:rsidRPr="00465852">
        <w:rPr>
          <w:i/>
          <w:lang w:val="en-US"/>
        </w:rPr>
        <w:t>M. paradoxus</w:t>
      </w:r>
      <w:r w:rsidR="00465852">
        <w:rPr>
          <w:lang w:val="en-US"/>
        </w:rPr>
        <w:t xml:space="preserve"> </w:t>
      </w:r>
      <w:r w:rsidR="00465852" w:rsidRPr="00465852">
        <w:rPr>
          <w:i/>
          <w:lang w:val="en-US"/>
        </w:rPr>
        <w:t>B</w:t>
      </w:r>
      <w:r w:rsidR="00465852" w:rsidRPr="00465852">
        <w:rPr>
          <w:i/>
          <w:vertAlign w:val="superscript"/>
          <w:lang w:val="en-US"/>
        </w:rPr>
        <w:t>sp</w:t>
      </w:r>
      <w:r w:rsidR="00465852">
        <w:rPr>
          <w:vertAlign w:val="subscript"/>
          <w:lang w:val="en-US"/>
        </w:rPr>
        <w:t>2030</w:t>
      </w:r>
      <w:r w:rsidR="00465852">
        <w:rPr>
          <w:lang w:val="en-US"/>
        </w:rPr>
        <w:t>/</w:t>
      </w:r>
      <w:r w:rsidR="00465852" w:rsidRPr="00465852">
        <w:rPr>
          <w:i/>
          <w:lang w:val="en-US"/>
        </w:rPr>
        <w:t>B</w:t>
      </w:r>
      <w:r w:rsidR="00465852" w:rsidRPr="00465852">
        <w:rPr>
          <w:i/>
          <w:vertAlign w:val="superscript"/>
          <w:lang w:val="en-US"/>
        </w:rPr>
        <w:t>sp</w:t>
      </w:r>
      <w:r w:rsidR="00465852" w:rsidRPr="00465852">
        <w:rPr>
          <w:vertAlign w:val="subscript"/>
          <w:lang w:val="en-US"/>
        </w:rPr>
        <w:t>2010</w:t>
      </w:r>
      <w:r w:rsidR="00465852">
        <w:rPr>
          <w:lang w:val="en-US"/>
        </w:rPr>
        <w:t>.</w:t>
      </w:r>
      <w:r w:rsidR="00465852" w:rsidRPr="00465852">
        <w:rPr>
          <w:rFonts w:ascii="Calibri" w:eastAsia="Calibri" w:hAnsi="Calibri" w:cs="Times New Roman"/>
          <w:lang w:val="en-US"/>
        </w:rPr>
        <w:t xml:space="preserve"> Catch units are thousand tons.</w:t>
      </w:r>
    </w:p>
    <w:p w:rsidR="000D5B47" w:rsidRPr="00465852" w:rsidRDefault="00465852">
      <w:pPr>
        <w:rPr>
          <w:lang w:val="en-US"/>
        </w:rPr>
      </w:pPr>
      <w:r>
        <w:rPr>
          <w:noProof/>
          <w:lang w:val="en-ZA" w:eastAsia="en-ZA"/>
        </w:rPr>
        <w:drawing>
          <wp:anchor distT="0" distB="0" distL="114300" distR="114300" simplePos="0" relativeHeight="251665408" behindDoc="1" locked="0" layoutInCell="1" allowOverlap="1">
            <wp:simplePos x="0" y="0"/>
            <wp:positionH relativeFrom="column">
              <wp:posOffset>16510</wp:posOffset>
            </wp:positionH>
            <wp:positionV relativeFrom="paragraph">
              <wp:posOffset>146685</wp:posOffset>
            </wp:positionV>
            <wp:extent cx="8892540" cy="2387600"/>
            <wp:effectExtent l="19050" t="0" r="381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8892540" cy="2387600"/>
                    </a:xfrm>
                    <a:prstGeom prst="rect">
                      <a:avLst/>
                    </a:prstGeom>
                    <a:noFill/>
                    <a:ln w="9525">
                      <a:noFill/>
                      <a:miter lim="800000"/>
                      <a:headEnd/>
                      <a:tailEnd/>
                    </a:ln>
                  </pic:spPr>
                </pic:pic>
              </a:graphicData>
            </a:graphic>
          </wp:anchor>
        </w:drawing>
      </w:r>
    </w:p>
    <w:p w:rsidR="009D3F4C" w:rsidRPr="00465852" w:rsidRDefault="009D3F4C">
      <w:pPr>
        <w:rPr>
          <w:lang w:val="en-US"/>
        </w:rPr>
      </w:pPr>
    </w:p>
    <w:p w:rsidR="009D3F4C" w:rsidRPr="00465852" w:rsidRDefault="009D3F4C">
      <w:pPr>
        <w:rPr>
          <w:lang w:val="en-US"/>
        </w:rPr>
      </w:pPr>
    </w:p>
    <w:p w:rsidR="009D3F4C" w:rsidRPr="00465852" w:rsidRDefault="009D3F4C">
      <w:pPr>
        <w:rPr>
          <w:lang w:val="en-US"/>
        </w:rPr>
      </w:pPr>
    </w:p>
    <w:p w:rsidR="009D3F4C" w:rsidRPr="00465852" w:rsidRDefault="009D3F4C">
      <w:pPr>
        <w:rPr>
          <w:lang w:val="en-US"/>
        </w:rPr>
      </w:pPr>
    </w:p>
    <w:p w:rsidR="00465852" w:rsidRPr="00465852" w:rsidRDefault="00465852">
      <w:pPr>
        <w:rPr>
          <w:lang w:val="en-US"/>
        </w:rPr>
      </w:pPr>
    </w:p>
    <w:p w:rsidR="00465852" w:rsidRPr="00465852" w:rsidRDefault="00465852">
      <w:pPr>
        <w:rPr>
          <w:lang w:val="en-US"/>
        </w:rPr>
      </w:pPr>
    </w:p>
    <w:p w:rsidR="00465852" w:rsidRPr="00465852" w:rsidRDefault="00465852">
      <w:pPr>
        <w:rPr>
          <w:lang w:val="en-US"/>
        </w:rPr>
      </w:pPr>
    </w:p>
    <w:p w:rsidR="009D3F4C" w:rsidRPr="00465852" w:rsidRDefault="009D3F4C">
      <w:pPr>
        <w:rPr>
          <w:lang w:val="en-US"/>
        </w:rPr>
      </w:pPr>
    </w:p>
    <w:p w:rsidR="009D3F4C" w:rsidRPr="00465852" w:rsidRDefault="009D3F4C">
      <w:pPr>
        <w:rPr>
          <w:lang w:val="en-US"/>
        </w:rPr>
      </w:pPr>
    </w:p>
    <w:p w:rsidR="00D03EF5" w:rsidRPr="00465852" w:rsidRDefault="00D03EF5">
      <w:pPr>
        <w:rPr>
          <w:lang w:val="en-US"/>
        </w:rPr>
        <w:sectPr w:rsidR="00D03EF5" w:rsidRPr="00465852" w:rsidSect="00D03EF5">
          <w:pgSz w:w="16838" w:h="11906" w:orient="landscape"/>
          <w:pgMar w:top="1417" w:right="1417" w:bottom="1417" w:left="1417" w:header="708" w:footer="708" w:gutter="0"/>
          <w:cols w:space="708"/>
          <w:docGrid w:linePitch="360"/>
        </w:sectPr>
      </w:pPr>
    </w:p>
    <w:p w:rsidR="0027419E" w:rsidRPr="00465852" w:rsidRDefault="00DC0F0F">
      <w:pPr>
        <w:rPr>
          <w:lang w:val="en-US"/>
        </w:rPr>
      </w:pPr>
      <w:r w:rsidRPr="00DC0F0F">
        <w:rPr>
          <w:noProof/>
          <w:lang w:val="en-ZA" w:eastAsia="en-ZA"/>
        </w:rPr>
        <w:lastRenderedPageBreak/>
        <w:drawing>
          <wp:anchor distT="0" distB="0" distL="114300" distR="114300" simplePos="0" relativeHeight="251666432" behindDoc="1" locked="0" layoutInCell="1" allowOverlap="1">
            <wp:simplePos x="0" y="0"/>
            <wp:positionH relativeFrom="column">
              <wp:posOffset>16722</wp:posOffset>
            </wp:positionH>
            <wp:positionV relativeFrom="paragraph">
              <wp:posOffset>-2328</wp:posOffset>
            </wp:positionV>
            <wp:extent cx="8892540" cy="2235200"/>
            <wp:effectExtent l="19050" t="0" r="381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8892540" cy="2235200"/>
                    </a:xfrm>
                    <a:prstGeom prst="rect">
                      <a:avLst/>
                    </a:prstGeom>
                    <a:noFill/>
                    <a:ln w="9525">
                      <a:noFill/>
                      <a:miter lim="800000"/>
                      <a:headEnd/>
                      <a:tailEnd/>
                    </a:ln>
                  </pic:spPr>
                </pic:pic>
              </a:graphicData>
            </a:graphic>
          </wp:anchor>
        </w:drawing>
      </w:r>
    </w:p>
    <w:p w:rsidR="009D3F4C" w:rsidRPr="00465852" w:rsidRDefault="009D3F4C">
      <w:pPr>
        <w:rPr>
          <w:lang w:val="en-US"/>
        </w:rPr>
      </w:pPr>
    </w:p>
    <w:p w:rsidR="009D3F4C" w:rsidRPr="00465852" w:rsidRDefault="009D3F4C">
      <w:pPr>
        <w:rPr>
          <w:lang w:val="en-US"/>
        </w:rPr>
      </w:pPr>
    </w:p>
    <w:p w:rsidR="009D3F4C" w:rsidRPr="00465852" w:rsidRDefault="009D3F4C">
      <w:pPr>
        <w:rPr>
          <w:lang w:val="en-US"/>
        </w:rPr>
      </w:pPr>
    </w:p>
    <w:p w:rsidR="009D3F4C" w:rsidRPr="00465852" w:rsidRDefault="009D3F4C">
      <w:pPr>
        <w:rPr>
          <w:lang w:val="en-US"/>
        </w:rPr>
      </w:pPr>
    </w:p>
    <w:p w:rsidR="009D3F4C" w:rsidRPr="00465852" w:rsidRDefault="009D3F4C">
      <w:pPr>
        <w:rPr>
          <w:lang w:val="en-US"/>
        </w:rPr>
      </w:pPr>
    </w:p>
    <w:p w:rsidR="009B0686" w:rsidRPr="00465852" w:rsidRDefault="009B0686">
      <w:pPr>
        <w:rPr>
          <w:lang w:val="en-US"/>
        </w:rPr>
      </w:pPr>
    </w:p>
    <w:p w:rsidR="009D3F4C" w:rsidRPr="0027419E" w:rsidRDefault="0027419E" w:rsidP="009B0686">
      <w:pPr>
        <w:jc w:val="both"/>
        <w:rPr>
          <w:lang w:val="en-US"/>
        </w:rPr>
      </w:pPr>
      <w:r w:rsidRPr="0027419E">
        <w:rPr>
          <w:lang w:val="en-US"/>
        </w:rPr>
        <w:t>Fig. 1: Median catch</w:t>
      </w:r>
      <w:r w:rsidR="00BA4EE1">
        <w:rPr>
          <w:lang w:val="en-US"/>
        </w:rPr>
        <w:t xml:space="preserve"> trajectories</w:t>
      </w:r>
      <w:r w:rsidR="009B0686">
        <w:rPr>
          <w:lang w:val="en-US"/>
        </w:rPr>
        <w:t xml:space="preserve">, </w:t>
      </w:r>
      <w:r w:rsidR="00BA4EE1">
        <w:rPr>
          <w:lang w:val="en-US"/>
        </w:rPr>
        <w:t xml:space="preserve">and </w:t>
      </w:r>
      <w:r w:rsidR="009B0686" w:rsidRPr="0027419E">
        <w:rPr>
          <w:lang w:val="en-US"/>
        </w:rPr>
        <w:t>lower 2.5%-</w:t>
      </w:r>
      <w:proofErr w:type="spellStart"/>
      <w:r w:rsidR="009B0686" w:rsidRPr="0027419E">
        <w:rPr>
          <w:lang w:val="en-US"/>
        </w:rPr>
        <w:t>ile</w:t>
      </w:r>
      <w:proofErr w:type="spellEnd"/>
      <w:r w:rsidR="009B0686" w:rsidRPr="0027419E">
        <w:rPr>
          <w:lang w:val="en-US"/>
        </w:rPr>
        <w:t xml:space="preserve"> </w:t>
      </w:r>
      <w:r w:rsidRPr="0027419E">
        <w:rPr>
          <w:i/>
          <w:lang w:val="en-US"/>
        </w:rPr>
        <w:t xml:space="preserve">M. </w:t>
      </w:r>
      <w:proofErr w:type="spellStart"/>
      <w:r w:rsidRPr="0027419E">
        <w:rPr>
          <w:i/>
          <w:lang w:val="en-US"/>
        </w:rPr>
        <w:t>paradoxus</w:t>
      </w:r>
      <w:proofErr w:type="spellEnd"/>
      <w:r>
        <w:rPr>
          <w:lang w:val="en-US"/>
        </w:rPr>
        <w:t xml:space="preserve"> female </w:t>
      </w:r>
      <w:proofErr w:type="spellStart"/>
      <w:r w:rsidR="009B0686" w:rsidRPr="009B0686">
        <w:rPr>
          <w:i/>
          <w:lang w:val="en-US"/>
        </w:rPr>
        <w:t>B</w:t>
      </w:r>
      <w:r w:rsidR="009B0686" w:rsidRPr="009B0686">
        <w:rPr>
          <w:i/>
          <w:vertAlign w:val="superscript"/>
          <w:lang w:val="en-US"/>
        </w:rPr>
        <w:t>sp</w:t>
      </w:r>
      <w:r w:rsidR="009B0686" w:rsidRPr="009B0686">
        <w:rPr>
          <w:i/>
          <w:vertAlign w:val="subscript"/>
          <w:lang w:val="en-US"/>
        </w:rPr>
        <w:t>y</w:t>
      </w:r>
      <w:proofErr w:type="spellEnd"/>
      <w:r w:rsidR="009B0686">
        <w:rPr>
          <w:lang w:val="en-US"/>
        </w:rPr>
        <w:t>/</w:t>
      </w:r>
      <w:r w:rsidR="009B0686" w:rsidRPr="009B0686">
        <w:rPr>
          <w:i/>
          <w:lang w:val="en-US"/>
        </w:rPr>
        <w:t>B</w:t>
      </w:r>
      <w:r w:rsidR="009B0686" w:rsidRPr="009B0686">
        <w:rPr>
          <w:i/>
          <w:vertAlign w:val="superscript"/>
          <w:lang w:val="en-US"/>
        </w:rPr>
        <w:t>sp</w:t>
      </w:r>
      <w:r w:rsidR="009B0686" w:rsidRPr="009B0686">
        <w:rPr>
          <w:vertAlign w:val="subscript"/>
          <w:lang w:val="en-US"/>
        </w:rPr>
        <w:t>2010</w:t>
      </w:r>
      <w:r w:rsidR="009B0686">
        <w:rPr>
          <w:lang w:val="en-US"/>
        </w:rPr>
        <w:t xml:space="preserve"> </w:t>
      </w:r>
      <w:proofErr w:type="gramStart"/>
      <w:r w:rsidR="009B0686">
        <w:rPr>
          <w:lang w:val="en-US"/>
        </w:rPr>
        <w:t xml:space="preserve">an  </w:t>
      </w:r>
      <w:proofErr w:type="spellStart"/>
      <w:r w:rsidR="009B0686" w:rsidRPr="009B0686">
        <w:rPr>
          <w:i/>
          <w:lang w:val="en-US"/>
        </w:rPr>
        <w:t>B</w:t>
      </w:r>
      <w:r w:rsidR="009B0686" w:rsidRPr="009B0686">
        <w:rPr>
          <w:i/>
          <w:vertAlign w:val="superscript"/>
          <w:lang w:val="en-US"/>
        </w:rPr>
        <w:t>sp</w:t>
      </w:r>
      <w:r w:rsidR="009B0686" w:rsidRPr="009B0686">
        <w:rPr>
          <w:i/>
          <w:vertAlign w:val="subscript"/>
          <w:lang w:val="en-US"/>
        </w:rPr>
        <w:t>y</w:t>
      </w:r>
      <w:proofErr w:type="spellEnd"/>
      <w:proofErr w:type="gramEnd"/>
      <w:r w:rsidR="009B0686">
        <w:rPr>
          <w:lang w:val="en-US"/>
        </w:rPr>
        <w:t>/</w:t>
      </w:r>
      <w:proofErr w:type="spellStart"/>
      <w:r w:rsidR="009B0686" w:rsidRPr="009B0686">
        <w:rPr>
          <w:i/>
          <w:lang w:val="en-US"/>
        </w:rPr>
        <w:t>B</w:t>
      </w:r>
      <w:r w:rsidR="009B0686" w:rsidRPr="009B0686">
        <w:rPr>
          <w:i/>
          <w:vertAlign w:val="superscript"/>
          <w:lang w:val="en-US"/>
        </w:rPr>
        <w:t>sp</w:t>
      </w:r>
      <w:r w:rsidR="009B0686">
        <w:rPr>
          <w:vertAlign w:val="subscript"/>
          <w:lang w:val="en-US"/>
        </w:rPr>
        <w:t>MSY</w:t>
      </w:r>
      <w:proofErr w:type="spellEnd"/>
      <w:r>
        <w:rPr>
          <w:lang w:val="en-US"/>
        </w:rPr>
        <w:t xml:space="preserve"> </w:t>
      </w:r>
      <w:r w:rsidR="00BA4EE1">
        <w:rPr>
          <w:lang w:val="en-US"/>
        </w:rPr>
        <w:t>envelopes</w:t>
      </w:r>
      <w:r w:rsidR="009B0686">
        <w:rPr>
          <w:lang w:val="en-US"/>
        </w:rPr>
        <w:t xml:space="preserve"> </w:t>
      </w:r>
      <w:r>
        <w:rPr>
          <w:lang w:val="en-US"/>
        </w:rPr>
        <w:t>for the RS and the four robustness test</w:t>
      </w:r>
      <w:r w:rsidR="00BA4EE1">
        <w:rPr>
          <w:lang w:val="en-US"/>
        </w:rPr>
        <w:t>s</w:t>
      </w:r>
      <w:r>
        <w:rPr>
          <w:lang w:val="en-US"/>
        </w:rPr>
        <w:t xml:space="preserve"> under CMPf1b.</w:t>
      </w:r>
    </w:p>
    <w:p w:rsidR="009D3F4C" w:rsidRPr="0027419E" w:rsidRDefault="00567410">
      <w:pPr>
        <w:rPr>
          <w:lang w:val="en-US"/>
        </w:rPr>
      </w:pPr>
      <w:r w:rsidRPr="00567410">
        <w:rPr>
          <w:noProof/>
          <w:lang w:val="en-ZA" w:eastAsia="en-ZA"/>
        </w:rPr>
        <w:drawing>
          <wp:anchor distT="0" distB="0" distL="114300" distR="114300" simplePos="0" relativeHeight="251668480" behindDoc="1" locked="0" layoutInCell="1" allowOverlap="1">
            <wp:simplePos x="0" y="0"/>
            <wp:positionH relativeFrom="column">
              <wp:posOffset>-25611</wp:posOffset>
            </wp:positionH>
            <wp:positionV relativeFrom="paragraph">
              <wp:posOffset>264372</wp:posOffset>
            </wp:positionV>
            <wp:extent cx="8892540" cy="2235200"/>
            <wp:effectExtent l="1905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8892540" cy="2235200"/>
                    </a:xfrm>
                    <a:prstGeom prst="rect">
                      <a:avLst/>
                    </a:prstGeom>
                    <a:noFill/>
                    <a:ln w="9525">
                      <a:noFill/>
                      <a:miter lim="800000"/>
                      <a:headEnd/>
                      <a:tailEnd/>
                    </a:ln>
                  </pic:spPr>
                </pic:pic>
              </a:graphicData>
            </a:graphic>
          </wp:anchor>
        </w:drawing>
      </w:r>
    </w:p>
    <w:p w:rsidR="0027419E" w:rsidRPr="00D03EF5" w:rsidRDefault="0027419E" w:rsidP="0027419E">
      <w:pPr>
        <w:rPr>
          <w:lang w:val="en-US"/>
        </w:rPr>
      </w:pPr>
    </w:p>
    <w:p w:rsidR="0027419E" w:rsidRPr="00D03EF5" w:rsidRDefault="0027419E" w:rsidP="0027419E">
      <w:pPr>
        <w:rPr>
          <w:lang w:val="en-US"/>
        </w:rPr>
      </w:pPr>
    </w:p>
    <w:p w:rsidR="0027419E" w:rsidRPr="00D03EF5" w:rsidRDefault="0027419E" w:rsidP="0027419E">
      <w:pPr>
        <w:rPr>
          <w:lang w:val="en-US"/>
        </w:rPr>
      </w:pPr>
    </w:p>
    <w:p w:rsidR="0027419E" w:rsidRPr="00D03EF5" w:rsidRDefault="0027419E" w:rsidP="0027419E">
      <w:pPr>
        <w:rPr>
          <w:lang w:val="en-US"/>
        </w:rPr>
      </w:pPr>
    </w:p>
    <w:p w:rsidR="0027419E" w:rsidRDefault="0027419E" w:rsidP="0027419E">
      <w:pPr>
        <w:rPr>
          <w:lang w:val="en-US"/>
        </w:rPr>
      </w:pPr>
    </w:p>
    <w:p w:rsidR="009B0686" w:rsidRPr="00D03EF5" w:rsidRDefault="009B0686" w:rsidP="0027419E">
      <w:pPr>
        <w:rPr>
          <w:lang w:val="en-US"/>
        </w:rPr>
      </w:pPr>
    </w:p>
    <w:p w:rsidR="0027419E" w:rsidRPr="00D03EF5" w:rsidRDefault="0027419E" w:rsidP="0027419E">
      <w:pPr>
        <w:rPr>
          <w:lang w:val="en-US"/>
        </w:rPr>
      </w:pPr>
    </w:p>
    <w:p w:rsidR="009D3F4C" w:rsidRPr="0027419E" w:rsidRDefault="009B0686" w:rsidP="009B0686">
      <w:pPr>
        <w:jc w:val="both"/>
        <w:rPr>
          <w:lang w:val="en-US"/>
        </w:rPr>
      </w:pPr>
      <w:r w:rsidRPr="0027419E">
        <w:rPr>
          <w:lang w:val="en-US"/>
        </w:rPr>
        <w:t xml:space="preserve">Fig. </w:t>
      </w:r>
      <w:r>
        <w:rPr>
          <w:lang w:val="en-US"/>
        </w:rPr>
        <w:t>2</w:t>
      </w:r>
      <w:r w:rsidRPr="0027419E">
        <w:rPr>
          <w:lang w:val="en-US"/>
        </w:rPr>
        <w:t xml:space="preserve">: </w:t>
      </w:r>
      <w:r w:rsidR="00BA4EE1" w:rsidRPr="0027419E">
        <w:rPr>
          <w:lang w:val="en-US"/>
        </w:rPr>
        <w:t>Median catch</w:t>
      </w:r>
      <w:r w:rsidR="00BA4EE1">
        <w:rPr>
          <w:lang w:val="en-US"/>
        </w:rPr>
        <w:t xml:space="preserve"> trajectories, and </w:t>
      </w:r>
      <w:r w:rsidR="00BA4EE1" w:rsidRPr="0027419E">
        <w:rPr>
          <w:lang w:val="en-US"/>
        </w:rPr>
        <w:t>lower 2.5%-</w:t>
      </w:r>
      <w:proofErr w:type="spellStart"/>
      <w:r w:rsidR="00BA4EE1" w:rsidRPr="0027419E">
        <w:rPr>
          <w:lang w:val="en-US"/>
        </w:rPr>
        <w:t>ile</w:t>
      </w:r>
      <w:proofErr w:type="spellEnd"/>
      <w:r w:rsidR="00BA4EE1" w:rsidRPr="0027419E">
        <w:rPr>
          <w:lang w:val="en-US"/>
        </w:rPr>
        <w:t xml:space="preserve"> </w:t>
      </w:r>
      <w:r w:rsidR="00BA4EE1" w:rsidRPr="0027419E">
        <w:rPr>
          <w:i/>
          <w:lang w:val="en-US"/>
        </w:rPr>
        <w:t xml:space="preserve">M. </w:t>
      </w:r>
      <w:proofErr w:type="spellStart"/>
      <w:r w:rsidR="00BA4EE1" w:rsidRPr="0027419E">
        <w:rPr>
          <w:i/>
          <w:lang w:val="en-US"/>
        </w:rPr>
        <w:t>paradoxus</w:t>
      </w:r>
      <w:proofErr w:type="spellEnd"/>
      <w:r w:rsidR="00BA4EE1">
        <w:rPr>
          <w:lang w:val="en-US"/>
        </w:rPr>
        <w:t xml:space="preserve"> female </w:t>
      </w:r>
      <w:proofErr w:type="spellStart"/>
      <w:r w:rsidR="00BA4EE1" w:rsidRPr="009B0686">
        <w:rPr>
          <w:i/>
          <w:lang w:val="en-US"/>
        </w:rPr>
        <w:t>B</w:t>
      </w:r>
      <w:r w:rsidR="00BA4EE1" w:rsidRPr="009B0686">
        <w:rPr>
          <w:i/>
          <w:vertAlign w:val="superscript"/>
          <w:lang w:val="en-US"/>
        </w:rPr>
        <w:t>sp</w:t>
      </w:r>
      <w:r w:rsidR="00BA4EE1" w:rsidRPr="009B0686">
        <w:rPr>
          <w:i/>
          <w:vertAlign w:val="subscript"/>
          <w:lang w:val="en-US"/>
        </w:rPr>
        <w:t>y</w:t>
      </w:r>
      <w:proofErr w:type="spellEnd"/>
      <w:r w:rsidR="00BA4EE1">
        <w:rPr>
          <w:lang w:val="en-US"/>
        </w:rPr>
        <w:t>/</w:t>
      </w:r>
      <w:r w:rsidR="00BA4EE1" w:rsidRPr="009B0686">
        <w:rPr>
          <w:i/>
          <w:lang w:val="en-US"/>
        </w:rPr>
        <w:t>B</w:t>
      </w:r>
      <w:r w:rsidR="00BA4EE1" w:rsidRPr="009B0686">
        <w:rPr>
          <w:i/>
          <w:vertAlign w:val="superscript"/>
          <w:lang w:val="en-US"/>
        </w:rPr>
        <w:t>sp</w:t>
      </w:r>
      <w:r w:rsidR="00BA4EE1" w:rsidRPr="009B0686">
        <w:rPr>
          <w:vertAlign w:val="subscript"/>
          <w:lang w:val="en-US"/>
        </w:rPr>
        <w:t>2010</w:t>
      </w:r>
      <w:r w:rsidR="00BA4EE1">
        <w:rPr>
          <w:lang w:val="en-US"/>
        </w:rPr>
        <w:t xml:space="preserve"> and </w:t>
      </w:r>
      <w:proofErr w:type="spellStart"/>
      <w:r w:rsidR="00BA4EE1" w:rsidRPr="009B0686">
        <w:rPr>
          <w:i/>
          <w:lang w:val="en-US"/>
        </w:rPr>
        <w:t>B</w:t>
      </w:r>
      <w:r w:rsidR="00BA4EE1" w:rsidRPr="009B0686">
        <w:rPr>
          <w:i/>
          <w:vertAlign w:val="superscript"/>
          <w:lang w:val="en-US"/>
        </w:rPr>
        <w:t>sp</w:t>
      </w:r>
      <w:r w:rsidR="00BA4EE1" w:rsidRPr="009B0686">
        <w:rPr>
          <w:i/>
          <w:vertAlign w:val="subscript"/>
          <w:lang w:val="en-US"/>
        </w:rPr>
        <w:t>y</w:t>
      </w:r>
      <w:proofErr w:type="spellEnd"/>
      <w:r w:rsidR="00BA4EE1">
        <w:rPr>
          <w:lang w:val="en-US"/>
        </w:rPr>
        <w:t>/</w:t>
      </w:r>
      <w:proofErr w:type="spellStart"/>
      <w:r w:rsidR="00BA4EE1" w:rsidRPr="009B0686">
        <w:rPr>
          <w:i/>
          <w:lang w:val="en-US"/>
        </w:rPr>
        <w:t>B</w:t>
      </w:r>
      <w:r w:rsidR="00BA4EE1" w:rsidRPr="009B0686">
        <w:rPr>
          <w:i/>
          <w:vertAlign w:val="superscript"/>
          <w:lang w:val="en-US"/>
        </w:rPr>
        <w:t>sp</w:t>
      </w:r>
      <w:r w:rsidR="00BA4EE1">
        <w:rPr>
          <w:vertAlign w:val="subscript"/>
          <w:lang w:val="en-US"/>
        </w:rPr>
        <w:t>MSY</w:t>
      </w:r>
      <w:proofErr w:type="spellEnd"/>
      <w:r w:rsidR="00BA4EE1">
        <w:rPr>
          <w:lang w:val="en-US"/>
        </w:rPr>
        <w:t xml:space="preserve"> envelopes for the RS and the four robustness tests </w:t>
      </w:r>
      <w:r w:rsidR="0027419E" w:rsidRPr="0027419E">
        <w:rPr>
          <w:b/>
          <w:lang w:val="en-US"/>
        </w:rPr>
        <w:t xml:space="preserve">tuned to the same </w:t>
      </w:r>
      <w:proofErr w:type="spellStart"/>
      <w:r w:rsidR="0027419E" w:rsidRPr="0027419E">
        <w:rPr>
          <w:b/>
          <w:i/>
          <w:lang w:val="en-US"/>
        </w:rPr>
        <w:t>B</w:t>
      </w:r>
      <w:r w:rsidR="0027419E" w:rsidRPr="0027419E">
        <w:rPr>
          <w:b/>
          <w:i/>
          <w:vertAlign w:val="superscript"/>
          <w:lang w:val="en-US"/>
        </w:rPr>
        <w:t>sp</w:t>
      </w:r>
      <w:r w:rsidR="0027419E" w:rsidRPr="0027419E">
        <w:rPr>
          <w:b/>
          <w:vertAlign w:val="subscript"/>
          <w:lang w:val="en-US"/>
        </w:rPr>
        <w:t>low</w:t>
      </w:r>
      <w:proofErr w:type="spellEnd"/>
      <w:r w:rsidR="0027419E" w:rsidRPr="0027419E">
        <w:rPr>
          <w:b/>
          <w:lang w:val="en-US"/>
        </w:rPr>
        <w:t>/</w:t>
      </w:r>
      <w:r w:rsidR="0027419E" w:rsidRPr="0027419E">
        <w:rPr>
          <w:b/>
          <w:i/>
          <w:lang w:val="en-US"/>
        </w:rPr>
        <w:t>B</w:t>
      </w:r>
      <w:r w:rsidR="0027419E" w:rsidRPr="0027419E">
        <w:rPr>
          <w:b/>
          <w:i/>
          <w:vertAlign w:val="superscript"/>
          <w:lang w:val="en-US"/>
        </w:rPr>
        <w:t>sp</w:t>
      </w:r>
      <w:r w:rsidR="0027419E" w:rsidRPr="0027419E">
        <w:rPr>
          <w:b/>
          <w:vertAlign w:val="subscript"/>
          <w:lang w:val="en-US"/>
        </w:rPr>
        <w:t>2010</w:t>
      </w:r>
      <w:r w:rsidR="0027419E">
        <w:rPr>
          <w:lang w:val="en-US"/>
        </w:rPr>
        <w:t xml:space="preserve"> </w:t>
      </w:r>
      <w:r w:rsidR="0027419E" w:rsidRPr="0027419E">
        <w:rPr>
          <w:i/>
          <w:lang w:val="en-US"/>
        </w:rPr>
        <w:t>M. paradoxus</w:t>
      </w:r>
      <w:r w:rsidR="0027419E">
        <w:rPr>
          <w:lang w:val="en-US"/>
        </w:rPr>
        <w:t xml:space="preserve"> as that for the RS.</w:t>
      </w:r>
    </w:p>
    <w:p w:rsidR="009D3F4C" w:rsidRPr="0027419E" w:rsidRDefault="00567410">
      <w:pPr>
        <w:rPr>
          <w:lang w:val="en-US"/>
        </w:rPr>
      </w:pPr>
      <w:r>
        <w:rPr>
          <w:noProof/>
          <w:lang w:val="en-ZA" w:eastAsia="en-ZA"/>
        </w:rPr>
        <w:lastRenderedPageBreak/>
        <w:drawing>
          <wp:anchor distT="0" distB="0" distL="114300" distR="114300" simplePos="0" relativeHeight="251667456" behindDoc="1" locked="0" layoutInCell="1" allowOverlap="1">
            <wp:simplePos x="0" y="0"/>
            <wp:positionH relativeFrom="column">
              <wp:posOffset>-25612</wp:posOffset>
            </wp:positionH>
            <wp:positionV relativeFrom="paragraph">
              <wp:posOffset>251672</wp:posOffset>
            </wp:positionV>
            <wp:extent cx="8892540" cy="2235200"/>
            <wp:effectExtent l="1905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8892540" cy="2235200"/>
                    </a:xfrm>
                    <a:prstGeom prst="rect">
                      <a:avLst/>
                    </a:prstGeom>
                    <a:noFill/>
                    <a:ln w="9525">
                      <a:noFill/>
                      <a:miter lim="800000"/>
                      <a:headEnd/>
                      <a:tailEnd/>
                    </a:ln>
                  </pic:spPr>
                </pic:pic>
              </a:graphicData>
            </a:graphic>
          </wp:anchor>
        </w:drawing>
      </w:r>
    </w:p>
    <w:p w:rsidR="009D3F4C" w:rsidRPr="0027419E" w:rsidRDefault="009D3F4C">
      <w:pPr>
        <w:rPr>
          <w:lang w:val="en-US"/>
        </w:rPr>
      </w:pPr>
    </w:p>
    <w:p w:rsidR="009D3F4C" w:rsidRDefault="009D3F4C">
      <w:pPr>
        <w:rPr>
          <w:lang w:val="en-US"/>
        </w:rPr>
      </w:pPr>
    </w:p>
    <w:p w:rsidR="0027419E" w:rsidRDefault="0027419E">
      <w:pPr>
        <w:rPr>
          <w:lang w:val="en-US"/>
        </w:rPr>
      </w:pPr>
    </w:p>
    <w:p w:rsidR="0027419E" w:rsidRDefault="0027419E">
      <w:pPr>
        <w:rPr>
          <w:lang w:val="en-US"/>
        </w:rPr>
      </w:pPr>
    </w:p>
    <w:p w:rsidR="0027419E" w:rsidRDefault="0027419E">
      <w:pPr>
        <w:rPr>
          <w:lang w:val="en-US"/>
        </w:rPr>
      </w:pPr>
    </w:p>
    <w:p w:rsidR="0027419E" w:rsidRDefault="0027419E">
      <w:pPr>
        <w:rPr>
          <w:lang w:val="en-US"/>
        </w:rPr>
      </w:pPr>
    </w:p>
    <w:p w:rsidR="0027419E" w:rsidRDefault="0027419E">
      <w:pPr>
        <w:rPr>
          <w:lang w:val="en-US"/>
        </w:rPr>
      </w:pPr>
    </w:p>
    <w:p w:rsidR="0027419E" w:rsidRPr="0027419E" w:rsidRDefault="009B0686" w:rsidP="009B0686">
      <w:pPr>
        <w:jc w:val="both"/>
        <w:rPr>
          <w:lang w:val="en-US"/>
        </w:rPr>
      </w:pPr>
      <w:r w:rsidRPr="0027419E">
        <w:rPr>
          <w:lang w:val="en-US"/>
        </w:rPr>
        <w:t xml:space="preserve">Fig. </w:t>
      </w:r>
      <w:r>
        <w:rPr>
          <w:lang w:val="en-US"/>
        </w:rPr>
        <w:t>3</w:t>
      </w:r>
      <w:r w:rsidRPr="0027419E">
        <w:rPr>
          <w:lang w:val="en-US"/>
        </w:rPr>
        <w:t xml:space="preserve">: </w:t>
      </w:r>
      <w:r w:rsidR="00BA4EE1" w:rsidRPr="0027419E">
        <w:rPr>
          <w:lang w:val="en-US"/>
        </w:rPr>
        <w:t>Median catch</w:t>
      </w:r>
      <w:r w:rsidR="00BA4EE1">
        <w:rPr>
          <w:lang w:val="en-US"/>
        </w:rPr>
        <w:t xml:space="preserve"> trajectories, and </w:t>
      </w:r>
      <w:r w:rsidR="00BA4EE1" w:rsidRPr="0027419E">
        <w:rPr>
          <w:lang w:val="en-US"/>
        </w:rPr>
        <w:t>lower 2.5%-</w:t>
      </w:r>
      <w:proofErr w:type="spellStart"/>
      <w:r w:rsidR="00BA4EE1" w:rsidRPr="0027419E">
        <w:rPr>
          <w:lang w:val="en-US"/>
        </w:rPr>
        <w:t>ile</w:t>
      </w:r>
      <w:proofErr w:type="spellEnd"/>
      <w:r w:rsidR="00BA4EE1" w:rsidRPr="0027419E">
        <w:rPr>
          <w:lang w:val="en-US"/>
        </w:rPr>
        <w:t xml:space="preserve"> </w:t>
      </w:r>
      <w:r w:rsidR="00BA4EE1" w:rsidRPr="0027419E">
        <w:rPr>
          <w:i/>
          <w:lang w:val="en-US"/>
        </w:rPr>
        <w:t xml:space="preserve">M. </w:t>
      </w:r>
      <w:proofErr w:type="spellStart"/>
      <w:r w:rsidR="00BA4EE1" w:rsidRPr="0027419E">
        <w:rPr>
          <w:i/>
          <w:lang w:val="en-US"/>
        </w:rPr>
        <w:t>paradoxus</w:t>
      </w:r>
      <w:proofErr w:type="spellEnd"/>
      <w:r w:rsidR="00BA4EE1">
        <w:rPr>
          <w:lang w:val="en-US"/>
        </w:rPr>
        <w:t xml:space="preserve"> female </w:t>
      </w:r>
      <w:proofErr w:type="spellStart"/>
      <w:r w:rsidR="00BA4EE1" w:rsidRPr="009B0686">
        <w:rPr>
          <w:i/>
          <w:lang w:val="en-US"/>
        </w:rPr>
        <w:t>B</w:t>
      </w:r>
      <w:r w:rsidR="00BA4EE1" w:rsidRPr="009B0686">
        <w:rPr>
          <w:i/>
          <w:vertAlign w:val="superscript"/>
          <w:lang w:val="en-US"/>
        </w:rPr>
        <w:t>sp</w:t>
      </w:r>
      <w:r w:rsidR="00BA4EE1" w:rsidRPr="009B0686">
        <w:rPr>
          <w:i/>
          <w:vertAlign w:val="subscript"/>
          <w:lang w:val="en-US"/>
        </w:rPr>
        <w:t>y</w:t>
      </w:r>
      <w:proofErr w:type="spellEnd"/>
      <w:r w:rsidR="00BA4EE1">
        <w:rPr>
          <w:lang w:val="en-US"/>
        </w:rPr>
        <w:t>/</w:t>
      </w:r>
      <w:r w:rsidR="00BA4EE1" w:rsidRPr="009B0686">
        <w:rPr>
          <w:i/>
          <w:lang w:val="en-US"/>
        </w:rPr>
        <w:t>B</w:t>
      </w:r>
      <w:r w:rsidR="00BA4EE1" w:rsidRPr="009B0686">
        <w:rPr>
          <w:i/>
          <w:vertAlign w:val="superscript"/>
          <w:lang w:val="en-US"/>
        </w:rPr>
        <w:t>sp</w:t>
      </w:r>
      <w:r w:rsidR="00BA4EE1" w:rsidRPr="009B0686">
        <w:rPr>
          <w:vertAlign w:val="subscript"/>
          <w:lang w:val="en-US"/>
        </w:rPr>
        <w:t>2010</w:t>
      </w:r>
      <w:r w:rsidR="00BA4EE1">
        <w:rPr>
          <w:lang w:val="en-US"/>
        </w:rPr>
        <w:t xml:space="preserve"> and </w:t>
      </w:r>
      <w:proofErr w:type="spellStart"/>
      <w:r w:rsidR="00BA4EE1" w:rsidRPr="009B0686">
        <w:rPr>
          <w:i/>
          <w:lang w:val="en-US"/>
        </w:rPr>
        <w:t>B</w:t>
      </w:r>
      <w:r w:rsidR="00BA4EE1" w:rsidRPr="009B0686">
        <w:rPr>
          <w:i/>
          <w:vertAlign w:val="superscript"/>
          <w:lang w:val="en-US"/>
        </w:rPr>
        <w:t>sp</w:t>
      </w:r>
      <w:r w:rsidR="00BA4EE1" w:rsidRPr="009B0686">
        <w:rPr>
          <w:i/>
          <w:vertAlign w:val="subscript"/>
          <w:lang w:val="en-US"/>
        </w:rPr>
        <w:t>y</w:t>
      </w:r>
      <w:proofErr w:type="spellEnd"/>
      <w:r w:rsidR="00BA4EE1">
        <w:rPr>
          <w:lang w:val="en-US"/>
        </w:rPr>
        <w:t>/</w:t>
      </w:r>
      <w:proofErr w:type="spellStart"/>
      <w:r w:rsidR="00BA4EE1" w:rsidRPr="009B0686">
        <w:rPr>
          <w:i/>
          <w:lang w:val="en-US"/>
        </w:rPr>
        <w:t>B</w:t>
      </w:r>
      <w:r w:rsidR="00BA4EE1" w:rsidRPr="009B0686">
        <w:rPr>
          <w:i/>
          <w:vertAlign w:val="superscript"/>
          <w:lang w:val="en-US"/>
        </w:rPr>
        <w:t>sp</w:t>
      </w:r>
      <w:r w:rsidR="00BA4EE1">
        <w:rPr>
          <w:vertAlign w:val="subscript"/>
          <w:lang w:val="en-US"/>
        </w:rPr>
        <w:t>MSY</w:t>
      </w:r>
      <w:proofErr w:type="spellEnd"/>
      <w:r w:rsidR="00BA4EE1">
        <w:rPr>
          <w:lang w:val="en-US"/>
        </w:rPr>
        <w:t xml:space="preserve"> envelopes for the RS and the four robustness tests </w:t>
      </w:r>
      <w:r w:rsidR="0027419E" w:rsidRPr="0027419E">
        <w:rPr>
          <w:b/>
          <w:lang w:val="en-US"/>
        </w:rPr>
        <w:t xml:space="preserve">tuned to the same </w:t>
      </w:r>
      <w:r w:rsidR="0027419E" w:rsidRPr="0027419E">
        <w:rPr>
          <w:b/>
          <w:i/>
          <w:lang w:val="en-US"/>
        </w:rPr>
        <w:t>B</w:t>
      </w:r>
      <w:r w:rsidR="0027419E" w:rsidRPr="0027419E">
        <w:rPr>
          <w:b/>
          <w:i/>
          <w:vertAlign w:val="superscript"/>
          <w:lang w:val="en-US"/>
        </w:rPr>
        <w:t>sp</w:t>
      </w:r>
      <w:r w:rsidR="0027419E">
        <w:rPr>
          <w:b/>
          <w:vertAlign w:val="subscript"/>
          <w:lang w:val="en-US"/>
        </w:rPr>
        <w:t>2030</w:t>
      </w:r>
      <w:r w:rsidR="0027419E" w:rsidRPr="0027419E">
        <w:rPr>
          <w:b/>
          <w:lang w:val="en-US"/>
        </w:rPr>
        <w:t>/</w:t>
      </w:r>
      <w:r w:rsidR="0027419E" w:rsidRPr="0027419E">
        <w:rPr>
          <w:b/>
          <w:i/>
          <w:lang w:val="en-US"/>
        </w:rPr>
        <w:t>B</w:t>
      </w:r>
      <w:r w:rsidR="0027419E" w:rsidRPr="0027419E">
        <w:rPr>
          <w:b/>
          <w:i/>
          <w:vertAlign w:val="superscript"/>
          <w:lang w:val="en-US"/>
        </w:rPr>
        <w:t>sp</w:t>
      </w:r>
      <w:r w:rsidR="0027419E" w:rsidRPr="0027419E">
        <w:rPr>
          <w:b/>
          <w:vertAlign w:val="subscript"/>
          <w:lang w:val="en-US"/>
        </w:rPr>
        <w:t>2010</w:t>
      </w:r>
      <w:r w:rsidR="0027419E">
        <w:rPr>
          <w:lang w:val="en-US"/>
        </w:rPr>
        <w:t xml:space="preserve"> </w:t>
      </w:r>
      <w:r w:rsidR="0027419E" w:rsidRPr="0027419E">
        <w:rPr>
          <w:i/>
          <w:lang w:val="en-US"/>
        </w:rPr>
        <w:t>M. paradoxus</w:t>
      </w:r>
      <w:r w:rsidR="0027419E">
        <w:rPr>
          <w:lang w:val="en-US"/>
        </w:rPr>
        <w:t xml:space="preserve"> as that for the RS.</w:t>
      </w:r>
    </w:p>
    <w:sectPr w:rsidR="0027419E" w:rsidRPr="0027419E" w:rsidSect="009B0686">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74F" w:rsidRDefault="0078374F" w:rsidP="00DA0547">
      <w:pPr>
        <w:spacing w:after="0" w:line="240" w:lineRule="auto"/>
      </w:pPr>
      <w:r>
        <w:separator/>
      </w:r>
    </w:p>
  </w:endnote>
  <w:endnote w:type="continuationSeparator" w:id="0">
    <w:p w:rsidR="0078374F" w:rsidRDefault="0078374F" w:rsidP="00DA0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307"/>
      <w:docPartObj>
        <w:docPartGallery w:val="Page Numbers (Bottom of Page)"/>
        <w:docPartUnique/>
      </w:docPartObj>
    </w:sdtPr>
    <w:sdtContent>
      <w:p w:rsidR="003224AF" w:rsidRDefault="00FB4684">
        <w:pPr>
          <w:pStyle w:val="Footer"/>
          <w:jc w:val="right"/>
        </w:pPr>
        <w:fldSimple w:instr=" PAGE   \* MERGEFORMAT ">
          <w:r w:rsidR="00B257D4">
            <w:rPr>
              <w:noProof/>
            </w:rPr>
            <w:t>1</w:t>
          </w:r>
        </w:fldSimple>
      </w:p>
    </w:sdtContent>
  </w:sdt>
  <w:p w:rsidR="003224AF" w:rsidRDefault="003224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74F" w:rsidRDefault="0078374F" w:rsidP="00DA0547">
      <w:pPr>
        <w:spacing w:after="0" w:line="240" w:lineRule="auto"/>
      </w:pPr>
      <w:r>
        <w:separator/>
      </w:r>
    </w:p>
  </w:footnote>
  <w:footnote w:type="continuationSeparator" w:id="0">
    <w:p w:rsidR="0078374F" w:rsidRDefault="0078374F" w:rsidP="00DA05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7D4" w:rsidRDefault="00B257D4" w:rsidP="00B257D4">
    <w:pPr>
      <w:pStyle w:val="Header"/>
      <w:jc w:val="right"/>
    </w:pPr>
    <w:r>
      <w:t>MARAM IWS/DEC10/H /P3</w:t>
    </w:r>
  </w:p>
  <w:p w:rsidR="00B257D4" w:rsidRDefault="00B257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6081"/>
    <w:multiLevelType w:val="hybridMultilevel"/>
    <w:tmpl w:val="FD5C6D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B5F4E7A"/>
    <w:multiLevelType w:val="hybridMultilevel"/>
    <w:tmpl w:val="6CA0B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14269FF"/>
    <w:multiLevelType w:val="hybridMultilevel"/>
    <w:tmpl w:val="73249D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D3F4C"/>
    <w:rsid w:val="000217E8"/>
    <w:rsid w:val="000C5BE0"/>
    <w:rsid w:val="000D5B47"/>
    <w:rsid w:val="000D5BD3"/>
    <w:rsid w:val="00233590"/>
    <w:rsid w:val="0027419E"/>
    <w:rsid w:val="00282C0A"/>
    <w:rsid w:val="002A419A"/>
    <w:rsid w:val="002E27DC"/>
    <w:rsid w:val="002F5636"/>
    <w:rsid w:val="003224AF"/>
    <w:rsid w:val="00415A04"/>
    <w:rsid w:val="00465852"/>
    <w:rsid w:val="00506209"/>
    <w:rsid w:val="00567410"/>
    <w:rsid w:val="00585D4F"/>
    <w:rsid w:val="005F7711"/>
    <w:rsid w:val="006449C1"/>
    <w:rsid w:val="006A2228"/>
    <w:rsid w:val="006B7CC6"/>
    <w:rsid w:val="007526FB"/>
    <w:rsid w:val="00755A74"/>
    <w:rsid w:val="0078374F"/>
    <w:rsid w:val="008150E0"/>
    <w:rsid w:val="00871D45"/>
    <w:rsid w:val="008B3E5B"/>
    <w:rsid w:val="008C6896"/>
    <w:rsid w:val="008D1988"/>
    <w:rsid w:val="0093480C"/>
    <w:rsid w:val="009A4A59"/>
    <w:rsid w:val="009B0686"/>
    <w:rsid w:val="009D3F4C"/>
    <w:rsid w:val="009D40D2"/>
    <w:rsid w:val="00A26302"/>
    <w:rsid w:val="00A8647B"/>
    <w:rsid w:val="00AA3129"/>
    <w:rsid w:val="00AC6A6D"/>
    <w:rsid w:val="00AE183D"/>
    <w:rsid w:val="00B257D4"/>
    <w:rsid w:val="00B5333E"/>
    <w:rsid w:val="00B64625"/>
    <w:rsid w:val="00BA0342"/>
    <w:rsid w:val="00BA4EE1"/>
    <w:rsid w:val="00BC7C89"/>
    <w:rsid w:val="00BD4CEF"/>
    <w:rsid w:val="00BE4BA7"/>
    <w:rsid w:val="00C83471"/>
    <w:rsid w:val="00D03EF5"/>
    <w:rsid w:val="00D75BF0"/>
    <w:rsid w:val="00D84112"/>
    <w:rsid w:val="00DA0547"/>
    <w:rsid w:val="00DC0F0F"/>
    <w:rsid w:val="00DC3721"/>
    <w:rsid w:val="00E30265"/>
    <w:rsid w:val="00E54BB8"/>
    <w:rsid w:val="00EE52C3"/>
    <w:rsid w:val="00F3358C"/>
    <w:rsid w:val="00FB4684"/>
    <w:rsid w:val="00FC066D"/>
    <w:rsid w:val="00FD231E"/>
    <w:rsid w:val="00FF47B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F4C"/>
    <w:rPr>
      <w:rFonts w:ascii="Tahoma" w:hAnsi="Tahoma" w:cs="Tahoma"/>
      <w:sz w:val="16"/>
      <w:szCs w:val="16"/>
    </w:rPr>
  </w:style>
  <w:style w:type="paragraph" w:styleId="Header">
    <w:name w:val="header"/>
    <w:basedOn w:val="Normal"/>
    <w:link w:val="HeaderChar"/>
    <w:uiPriority w:val="99"/>
    <w:unhideWhenUsed/>
    <w:rsid w:val="00DA0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0547"/>
  </w:style>
  <w:style w:type="paragraph" w:styleId="Footer">
    <w:name w:val="footer"/>
    <w:basedOn w:val="Normal"/>
    <w:link w:val="FooterChar"/>
    <w:uiPriority w:val="99"/>
    <w:unhideWhenUsed/>
    <w:rsid w:val="00DA0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0547"/>
  </w:style>
  <w:style w:type="character" w:styleId="CommentReference">
    <w:name w:val="annotation reference"/>
    <w:basedOn w:val="DefaultParagraphFont"/>
    <w:uiPriority w:val="99"/>
    <w:semiHidden/>
    <w:unhideWhenUsed/>
    <w:rsid w:val="00FC066D"/>
    <w:rPr>
      <w:sz w:val="16"/>
      <w:szCs w:val="16"/>
    </w:rPr>
  </w:style>
  <w:style w:type="paragraph" w:styleId="CommentText">
    <w:name w:val="annotation text"/>
    <w:basedOn w:val="Normal"/>
    <w:link w:val="CommentTextChar"/>
    <w:uiPriority w:val="99"/>
    <w:semiHidden/>
    <w:unhideWhenUsed/>
    <w:rsid w:val="00FC066D"/>
    <w:pPr>
      <w:spacing w:line="240" w:lineRule="auto"/>
    </w:pPr>
    <w:rPr>
      <w:sz w:val="20"/>
      <w:szCs w:val="20"/>
    </w:rPr>
  </w:style>
  <w:style w:type="character" w:customStyle="1" w:styleId="CommentTextChar">
    <w:name w:val="Comment Text Char"/>
    <w:basedOn w:val="DefaultParagraphFont"/>
    <w:link w:val="CommentText"/>
    <w:uiPriority w:val="99"/>
    <w:semiHidden/>
    <w:rsid w:val="00FC066D"/>
    <w:rPr>
      <w:sz w:val="20"/>
      <w:szCs w:val="20"/>
    </w:rPr>
  </w:style>
  <w:style w:type="paragraph" w:styleId="CommentSubject">
    <w:name w:val="annotation subject"/>
    <w:basedOn w:val="CommentText"/>
    <w:next w:val="CommentText"/>
    <w:link w:val="CommentSubjectChar"/>
    <w:uiPriority w:val="99"/>
    <w:semiHidden/>
    <w:unhideWhenUsed/>
    <w:rsid w:val="00FC066D"/>
    <w:rPr>
      <w:b/>
      <w:bCs/>
    </w:rPr>
  </w:style>
  <w:style w:type="character" w:customStyle="1" w:styleId="CommentSubjectChar">
    <w:name w:val="Comment Subject Char"/>
    <w:basedOn w:val="CommentTextChar"/>
    <w:link w:val="CommentSubject"/>
    <w:uiPriority w:val="99"/>
    <w:semiHidden/>
    <w:rsid w:val="00FC066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043E6"/>
    <w:rsid w:val="008043E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61A4980C42431CBECD2DC5CCD8836F">
    <w:name w:val="1F61A4980C42431CBECD2DC5CCD8836F"/>
    <w:rsid w:val="008043E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New Win User</cp:lastModifiedBy>
  <cp:revision>3</cp:revision>
  <dcterms:created xsi:type="dcterms:W3CDTF">2010-11-25T15:34:00Z</dcterms:created>
  <dcterms:modified xsi:type="dcterms:W3CDTF">2010-11-25T15:45:00Z</dcterms:modified>
</cp:coreProperties>
</file>