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36" w:rsidRDefault="002522B4" w:rsidP="00113782">
      <w:pPr>
        <w:pStyle w:val="Header"/>
      </w:pPr>
      <w:r>
        <w:rPr>
          <w:noProof/>
          <w:lang w:val="en-ZA" w:eastAsia="en-ZA"/>
        </w:rPr>
        <w:drawing>
          <wp:anchor distT="0" distB="0" distL="114300" distR="114300" simplePos="0" relativeHeight="251657728" behindDoc="0" locked="0" layoutInCell="1" allowOverlap="1">
            <wp:simplePos x="0" y="0"/>
            <wp:positionH relativeFrom="column">
              <wp:posOffset>-638810</wp:posOffset>
            </wp:positionH>
            <wp:positionV relativeFrom="paragraph">
              <wp:posOffset>-375920</wp:posOffset>
            </wp:positionV>
            <wp:extent cx="802640" cy="504825"/>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802640" cy="504825"/>
                    </a:xfrm>
                    <a:prstGeom prst="rect">
                      <a:avLst/>
                    </a:prstGeom>
                    <a:noFill/>
                  </pic:spPr>
                </pic:pic>
              </a:graphicData>
            </a:graphic>
          </wp:anchor>
        </w:drawing>
      </w:r>
      <w:r w:rsidR="006D7BC9">
        <w:t>Items to be considered in the development of an updated management procedure for the South African pelagic fishery (OMP-12)</w:t>
      </w:r>
    </w:p>
    <w:p w:rsidR="00E21F36" w:rsidRDefault="00E21F36" w:rsidP="00E21F36">
      <w:pPr>
        <w:pStyle w:val="BodyText"/>
        <w:jc w:val="center"/>
        <w:rPr>
          <w:b/>
          <w:bCs/>
        </w:rPr>
      </w:pPr>
      <w:r>
        <w:rPr>
          <w:b/>
          <w:bCs/>
        </w:rPr>
        <w:t>C.L. de Moor</w:t>
      </w:r>
      <w:r>
        <w:rPr>
          <w:rStyle w:val="FootnoteReference"/>
          <w:b/>
          <w:bCs/>
        </w:rPr>
        <w:footnoteReference w:customMarkFollows="1" w:id="1"/>
        <w:sym w:font="Symbol" w:char="F02A"/>
      </w:r>
      <w:r>
        <w:rPr>
          <w:b/>
          <w:bCs/>
        </w:rPr>
        <w:t xml:space="preserve"> and D.S. Butterworth</w:t>
      </w:r>
      <w:r w:rsidRPr="00E21F36">
        <w:rPr>
          <w:b/>
          <w:bCs/>
          <w:vertAlign w:val="superscript"/>
        </w:rPr>
        <w:t>*</w:t>
      </w:r>
    </w:p>
    <w:p w:rsidR="00E21F36" w:rsidRPr="00DA1F37" w:rsidRDefault="00E21F36" w:rsidP="00E21F36">
      <w:pPr>
        <w:pStyle w:val="BodyText"/>
        <w:jc w:val="center"/>
        <w:rPr>
          <w:bCs/>
          <w:i/>
        </w:rPr>
      </w:pPr>
      <w:r w:rsidRPr="00DA1F37">
        <w:rPr>
          <w:bCs/>
          <w:i/>
        </w:rPr>
        <w:t xml:space="preserve">Correspondence email: </w:t>
      </w:r>
      <w:hyperlink r:id="rId9" w:history="1">
        <w:r w:rsidRPr="00F52306">
          <w:rPr>
            <w:rStyle w:val="Hyperlink"/>
            <w:bCs/>
            <w:i/>
          </w:rPr>
          <w:t>carryn.demoor@uct.ac.za</w:t>
        </w:r>
      </w:hyperlink>
      <w:r>
        <w:rPr>
          <w:bCs/>
          <w:i/>
        </w:rPr>
        <w:t xml:space="preserve"> </w:t>
      </w:r>
    </w:p>
    <w:p w:rsidR="00E21F36" w:rsidRDefault="00E21F36" w:rsidP="00113782">
      <w:pPr>
        <w:pStyle w:val="Header"/>
      </w:pPr>
    </w:p>
    <w:p w:rsidR="006D7BC9" w:rsidRDefault="006D7BC9" w:rsidP="00E21F36">
      <w:pPr>
        <w:pStyle w:val="Header"/>
        <w:jc w:val="both"/>
        <w:rPr>
          <w:b w:val="0"/>
          <w:sz w:val="22"/>
          <w:szCs w:val="22"/>
        </w:rPr>
      </w:pPr>
      <w:r>
        <w:rPr>
          <w:b w:val="0"/>
          <w:sz w:val="22"/>
          <w:szCs w:val="22"/>
        </w:rPr>
        <w:t xml:space="preserve">A new management procedure </w:t>
      </w:r>
      <w:r w:rsidR="00F85B49">
        <w:rPr>
          <w:b w:val="0"/>
          <w:sz w:val="22"/>
          <w:szCs w:val="22"/>
        </w:rPr>
        <w:t xml:space="preserve">(MP) </w:t>
      </w:r>
      <w:r>
        <w:rPr>
          <w:b w:val="0"/>
          <w:sz w:val="22"/>
          <w:szCs w:val="22"/>
        </w:rPr>
        <w:t xml:space="preserve">for the South African pelagic fishery is to be developed </w:t>
      </w:r>
      <w:r w:rsidR="0013687C">
        <w:rPr>
          <w:b w:val="0"/>
          <w:sz w:val="22"/>
          <w:szCs w:val="22"/>
        </w:rPr>
        <w:t>next year in time to b</w:t>
      </w:r>
      <w:r w:rsidR="00F85B49">
        <w:rPr>
          <w:b w:val="0"/>
          <w:sz w:val="22"/>
          <w:szCs w:val="22"/>
        </w:rPr>
        <w:t>e implemented by</w:t>
      </w:r>
      <w:r>
        <w:rPr>
          <w:b w:val="0"/>
          <w:sz w:val="22"/>
          <w:szCs w:val="22"/>
        </w:rPr>
        <w:t xml:space="preserve"> </w:t>
      </w:r>
      <w:r w:rsidR="00F85B49">
        <w:rPr>
          <w:b w:val="0"/>
          <w:sz w:val="22"/>
          <w:szCs w:val="22"/>
        </w:rPr>
        <w:t xml:space="preserve">December 2011 </w:t>
      </w:r>
      <w:r>
        <w:rPr>
          <w:b w:val="0"/>
          <w:sz w:val="22"/>
          <w:szCs w:val="22"/>
        </w:rPr>
        <w:t xml:space="preserve">to set the initial </w:t>
      </w:r>
      <w:r w:rsidR="00F85B49">
        <w:rPr>
          <w:b w:val="0"/>
          <w:sz w:val="22"/>
          <w:szCs w:val="22"/>
        </w:rPr>
        <w:t xml:space="preserve">anchovy and directed sardine TACs </w:t>
      </w:r>
      <w:r w:rsidR="00791BAC">
        <w:rPr>
          <w:b w:val="0"/>
          <w:sz w:val="22"/>
          <w:szCs w:val="22"/>
        </w:rPr>
        <w:t xml:space="preserve">(Total Allowable Catches) </w:t>
      </w:r>
      <w:r w:rsidR="00F85B49">
        <w:rPr>
          <w:b w:val="0"/>
          <w:sz w:val="22"/>
          <w:szCs w:val="22"/>
        </w:rPr>
        <w:t>and sardine TAB</w:t>
      </w:r>
      <w:r w:rsidR="00791BAC">
        <w:rPr>
          <w:rStyle w:val="FootnoteReference"/>
          <w:b w:val="0"/>
          <w:sz w:val="22"/>
          <w:szCs w:val="22"/>
        </w:rPr>
        <w:footnoteReference w:id="2"/>
      </w:r>
      <w:r w:rsidR="00F85B49">
        <w:rPr>
          <w:b w:val="0"/>
          <w:sz w:val="22"/>
          <w:szCs w:val="22"/>
        </w:rPr>
        <w:t xml:space="preserve"> </w:t>
      </w:r>
      <w:r w:rsidR="00791BAC">
        <w:rPr>
          <w:b w:val="0"/>
          <w:sz w:val="22"/>
          <w:szCs w:val="22"/>
        </w:rPr>
        <w:t xml:space="preserve">(Total Allowable </w:t>
      </w:r>
      <w:proofErr w:type="spellStart"/>
      <w:r w:rsidR="00791BAC">
        <w:rPr>
          <w:b w:val="0"/>
          <w:sz w:val="22"/>
          <w:szCs w:val="22"/>
        </w:rPr>
        <w:t>Bycatch</w:t>
      </w:r>
      <w:proofErr w:type="spellEnd"/>
      <w:r w:rsidR="00791BAC">
        <w:rPr>
          <w:b w:val="0"/>
          <w:sz w:val="22"/>
          <w:szCs w:val="22"/>
        </w:rPr>
        <w:t xml:space="preserve">) </w:t>
      </w:r>
      <w:r w:rsidR="00F85B49">
        <w:rPr>
          <w:b w:val="0"/>
          <w:sz w:val="22"/>
          <w:szCs w:val="22"/>
        </w:rPr>
        <w:t>for 2012</w:t>
      </w:r>
      <w:r>
        <w:rPr>
          <w:b w:val="0"/>
          <w:sz w:val="22"/>
          <w:szCs w:val="22"/>
        </w:rPr>
        <w:t xml:space="preserve">.  This document lists </w:t>
      </w:r>
      <w:r w:rsidR="00776F42">
        <w:rPr>
          <w:b w:val="0"/>
          <w:sz w:val="22"/>
          <w:szCs w:val="22"/>
        </w:rPr>
        <w:t xml:space="preserve">some of the </w:t>
      </w:r>
      <w:r>
        <w:rPr>
          <w:b w:val="0"/>
          <w:sz w:val="22"/>
          <w:szCs w:val="22"/>
        </w:rPr>
        <w:t>i</w:t>
      </w:r>
      <w:r w:rsidR="00D73E63">
        <w:rPr>
          <w:b w:val="0"/>
          <w:sz w:val="22"/>
          <w:szCs w:val="22"/>
        </w:rPr>
        <w:t>ssues</w:t>
      </w:r>
      <w:r>
        <w:rPr>
          <w:b w:val="0"/>
          <w:sz w:val="22"/>
          <w:szCs w:val="22"/>
        </w:rPr>
        <w:t xml:space="preserve"> which are proposed to be taken into consideration during the development and simulation testing of the new OMP.</w:t>
      </w:r>
      <w:r w:rsidR="00776F42">
        <w:rPr>
          <w:b w:val="0"/>
          <w:sz w:val="22"/>
          <w:szCs w:val="22"/>
        </w:rPr>
        <w:t xml:space="preserve">  The authors invite comment on current best practice regarding the implementation of these considerations.</w:t>
      </w:r>
    </w:p>
    <w:p w:rsidR="006D7BC9" w:rsidRDefault="006D7BC9" w:rsidP="00E21F36">
      <w:pPr>
        <w:pStyle w:val="Header"/>
        <w:jc w:val="both"/>
        <w:rPr>
          <w:b w:val="0"/>
          <w:sz w:val="22"/>
          <w:szCs w:val="22"/>
        </w:rPr>
      </w:pPr>
    </w:p>
    <w:p w:rsidR="006D7BC9" w:rsidRPr="00C804FF" w:rsidRDefault="00E6091C" w:rsidP="00C804FF">
      <w:pPr>
        <w:pStyle w:val="Header"/>
        <w:numPr>
          <w:ilvl w:val="0"/>
          <w:numId w:val="7"/>
        </w:numPr>
        <w:jc w:val="both"/>
        <w:rPr>
          <w:b w:val="0"/>
          <w:sz w:val="22"/>
          <w:szCs w:val="22"/>
        </w:rPr>
      </w:pPr>
      <w:r>
        <w:rPr>
          <w:b w:val="0"/>
          <w:sz w:val="22"/>
          <w:szCs w:val="22"/>
        </w:rPr>
        <w:t>Assign relative plausibility to o</w:t>
      </w:r>
      <w:r w:rsidR="00901F5E">
        <w:rPr>
          <w:b w:val="0"/>
          <w:sz w:val="22"/>
          <w:szCs w:val="22"/>
        </w:rPr>
        <w:t xml:space="preserve">ne and two </w:t>
      </w:r>
      <w:r w:rsidR="00C804FF">
        <w:rPr>
          <w:b w:val="0"/>
          <w:sz w:val="22"/>
          <w:szCs w:val="22"/>
        </w:rPr>
        <w:t xml:space="preserve">(‘west’ and ‘east’) </w:t>
      </w:r>
      <w:r w:rsidR="00901F5E" w:rsidRPr="00C804FF">
        <w:rPr>
          <w:b w:val="0"/>
          <w:sz w:val="22"/>
          <w:szCs w:val="22"/>
        </w:rPr>
        <w:t>stock hypotheses for</w:t>
      </w:r>
      <w:r w:rsidR="00C804FF">
        <w:rPr>
          <w:b w:val="0"/>
          <w:sz w:val="22"/>
          <w:szCs w:val="22"/>
        </w:rPr>
        <w:t xml:space="preserve"> sardine</w:t>
      </w:r>
    </w:p>
    <w:p w:rsidR="00901F5E" w:rsidRDefault="00776F42" w:rsidP="00776F42">
      <w:pPr>
        <w:pStyle w:val="Header"/>
        <w:jc w:val="both"/>
        <w:rPr>
          <w:b w:val="0"/>
          <w:sz w:val="22"/>
          <w:szCs w:val="22"/>
        </w:rPr>
      </w:pPr>
      <w:r>
        <w:rPr>
          <w:b w:val="0"/>
          <w:sz w:val="22"/>
          <w:szCs w:val="22"/>
        </w:rPr>
        <w:t>Two separate hypotheses of stock structure will be modelled</w:t>
      </w:r>
      <w:r w:rsidR="009A63AD">
        <w:rPr>
          <w:b w:val="0"/>
          <w:sz w:val="22"/>
          <w:szCs w:val="22"/>
        </w:rPr>
        <w:t xml:space="preserve"> (</w:t>
      </w:r>
      <w:r w:rsidR="005D37CE">
        <w:rPr>
          <w:b w:val="0"/>
          <w:sz w:val="22"/>
          <w:szCs w:val="22"/>
        </w:rPr>
        <w:t>Appendix A</w:t>
      </w:r>
      <w:r w:rsidR="009A63AD">
        <w:rPr>
          <w:b w:val="0"/>
          <w:sz w:val="22"/>
          <w:szCs w:val="22"/>
        </w:rPr>
        <w:t>)</w:t>
      </w:r>
      <w:r>
        <w:rPr>
          <w:b w:val="0"/>
          <w:sz w:val="22"/>
          <w:szCs w:val="22"/>
        </w:rPr>
        <w:t>.  Resource and catch projections under candidate MPs could differ</w:t>
      </w:r>
      <w:r w:rsidR="0013687C">
        <w:rPr>
          <w:b w:val="0"/>
          <w:sz w:val="22"/>
          <w:szCs w:val="22"/>
        </w:rPr>
        <w:t xml:space="preserve"> under the alternative hypotheses</w:t>
      </w:r>
      <w:r>
        <w:rPr>
          <w:b w:val="0"/>
          <w:sz w:val="22"/>
          <w:szCs w:val="22"/>
        </w:rPr>
        <w:t xml:space="preserve">.  How do we </w:t>
      </w:r>
      <w:r w:rsidR="0013687C">
        <w:rPr>
          <w:b w:val="0"/>
          <w:sz w:val="22"/>
          <w:szCs w:val="22"/>
        </w:rPr>
        <w:t xml:space="preserve">best </w:t>
      </w:r>
      <w:r>
        <w:rPr>
          <w:b w:val="0"/>
          <w:sz w:val="22"/>
          <w:szCs w:val="22"/>
        </w:rPr>
        <w:t xml:space="preserve">determine relative plausibility between </w:t>
      </w:r>
      <w:proofErr w:type="gramStart"/>
      <w:r>
        <w:rPr>
          <w:b w:val="0"/>
          <w:sz w:val="22"/>
          <w:szCs w:val="22"/>
        </w:rPr>
        <w:t>hypotheses.</w:t>
      </w:r>
      <w:proofErr w:type="gramEnd"/>
      <w:r>
        <w:rPr>
          <w:b w:val="0"/>
          <w:sz w:val="22"/>
          <w:szCs w:val="22"/>
        </w:rPr>
        <w:t xml:space="preserve">  </w:t>
      </w:r>
      <w:proofErr w:type="gramStart"/>
      <w:r>
        <w:rPr>
          <w:b w:val="0"/>
          <w:sz w:val="22"/>
          <w:szCs w:val="22"/>
        </w:rPr>
        <w:t xml:space="preserve">Should higher </w:t>
      </w:r>
      <w:r w:rsidR="00E6091C">
        <w:rPr>
          <w:b w:val="0"/>
          <w:sz w:val="22"/>
          <w:szCs w:val="22"/>
        </w:rPr>
        <w:t>weight</w:t>
      </w:r>
      <w:r>
        <w:rPr>
          <w:b w:val="0"/>
          <w:sz w:val="22"/>
          <w:szCs w:val="22"/>
        </w:rPr>
        <w:t xml:space="preserve"> always be given to the more pessimistic resource projections</w:t>
      </w:r>
      <w:r w:rsidR="0013687C">
        <w:rPr>
          <w:b w:val="0"/>
          <w:sz w:val="22"/>
          <w:szCs w:val="22"/>
        </w:rPr>
        <w:t>, and if so</w:t>
      </w:r>
      <w:r w:rsidR="009A63AD">
        <w:rPr>
          <w:b w:val="0"/>
          <w:sz w:val="22"/>
          <w:szCs w:val="22"/>
        </w:rPr>
        <w:t>, how much?</w:t>
      </w:r>
      <w:proofErr w:type="gramEnd"/>
    </w:p>
    <w:p w:rsidR="00D73E63" w:rsidRDefault="00D73E63" w:rsidP="00776F42">
      <w:pPr>
        <w:pStyle w:val="Header"/>
        <w:jc w:val="both"/>
        <w:rPr>
          <w:b w:val="0"/>
          <w:sz w:val="22"/>
          <w:szCs w:val="22"/>
        </w:rPr>
      </w:pPr>
    </w:p>
    <w:p w:rsidR="00C804FF" w:rsidRDefault="009A63AD" w:rsidP="006D7BC9">
      <w:pPr>
        <w:pStyle w:val="Header"/>
        <w:numPr>
          <w:ilvl w:val="0"/>
          <w:numId w:val="7"/>
        </w:numPr>
        <w:jc w:val="both"/>
        <w:rPr>
          <w:b w:val="0"/>
          <w:sz w:val="22"/>
          <w:szCs w:val="22"/>
        </w:rPr>
      </w:pPr>
      <w:r>
        <w:rPr>
          <w:b w:val="0"/>
          <w:sz w:val="22"/>
          <w:szCs w:val="22"/>
        </w:rPr>
        <w:t xml:space="preserve">Modelling </w:t>
      </w:r>
      <w:r w:rsidR="00E6091C">
        <w:rPr>
          <w:b w:val="0"/>
          <w:sz w:val="22"/>
          <w:szCs w:val="22"/>
        </w:rPr>
        <w:t xml:space="preserve">future </w:t>
      </w:r>
      <w:r>
        <w:rPr>
          <w:b w:val="0"/>
          <w:sz w:val="22"/>
          <w:szCs w:val="22"/>
        </w:rPr>
        <w:t>r</w:t>
      </w:r>
      <w:r w:rsidR="00C804FF">
        <w:rPr>
          <w:b w:val="0"/>
          <w:sz w:val="22"/>
          <w:szCs w:val="22"/>
        </w:rPr>
        <w:t>ecruitment</w:t>
      </w:r>
      <w:r>
        <w:rPr>
          <w:b w:val="0"/>
          <w:sz w:val="22"/>
          <w:szCs w:val="22"/>
        </w:rPr>
        <w:t xml:space="preserve"> in the operating models</w:t>
      </w:r>
    </w:p>
    <w:p w:rsidR="00F85B49" w:rsidRDefault="00C804FF" w:rsidP="00F85B49">
      <w:pPr>
        <w:pStyle w:val="Header"/>
        <w:jc w:val="both"/>
        <w:rPr>
          <w:b w:val="0"/>
          <w:sz w:val="22"/>
          <w:szCs w:val="22"/>
        </w:rPr>
      </w:pPr>
      <w:r>
        <w:rPr>
          <w:b w:val="0"/>
          <w:sz w:val="22"/>
          <w:szCs w:val="22"/>
        </w:rPr>
        <w:t>There is a possibility that stock-recruitment dynamics have changed over time, p</w:t>
      </w:r>
      <w:r w:rsidR="00D73E63">
        <w:rPr>
          <w:b w:val="0"/>
          <w:sz w:val="22"/>
          <w:szCs w:val="22"/>
        </w:rPr>
        <w:t>erhaps</w:t>
      </w:r>
      <w:r>
        <w:rPr>
          <w:b w:val="0"/>
          <w:sz w:val="22"/>
          <w:szCs w:val="22"/>
        </w:rPr>
        <w:t xml:space="preserve"> in 1999/2000</w:t>
      </w:r>
      <w:r w:rsidR="009A63AD">
        <w:rPr>
          <w:b w:val="0"/>
          <w:sz w:val="22"/>
          <w:szCs w:val="22"/>
        </w:rPr>
        <w:t>,</w:t>
      </w:r>
      <w:r>
        <w:rPr>
          <w:b w:val="0"/>
          <w:sz w:val="22"/>
          <w:szCs w:val="22"/>
        </w:rPr>
        <w:t xml:space="preserve"> or possibly </w:t>
      </w:r>
      <w:r w:rsidR="009A63AD">
        <w:rPr>
          <w:b w:val="0"/>
          <w:sz w:val="22"/>
          <w:szCs w:val="22"/>
        </w:rPr>
        <w:t>due to density dependence (</w:t>
      </w:r>
      <w:r w:rsidR="00A72A26">
        <w:rPr>
          <w:b w:val="0"/>
          <w:sz w:val="22"/>
          <w:szCs w:val="22"/>
        </w:rPr>
        <w:t>Appendix B</w:t>
      </w:r>
      <w:r w:rsidR="009A63AD">
        <w:rPr>
          <w:b w:val="0"/>
          <w:sz w:val="22"/>
          <w:szCs w:val="22"/>
        </w:rPr>
        <w:t xml:space="preserve">).  </w:t>
      </w:r>
      <w:r w:rsidR="00DA4D73">
        <w:rPr>
          <w:b w:val="0"/>
          <w:sz w:val="22"/>
          <w:szCs w:val="22"/>
        </w:rPr>
        <w:t xml:space="preserve">Should a different model be used for sardine “peak” periods? </w:t>
      </w:r>
      <w:r w:rsidR="005363B7">
        <w:rPr>
          <w:b w:val="0"/>
          <w:sz w:val="22"/>
          <w:szCs w:val="22"/>
        </w:rPr>
        <w:t xml:space="preserve"> </w:t>
      </w:r>
      <w:r w:rsidR="00DA4D73">
        <w:rPr>
          <w:b w:val="0"/>
          <w:sz w:val="22"/>
          <w:szCs w:val="22"/>
        </w:rPr>
        <w:t xml:space="preserve">How should seemingly enhanced anchovy recruitment throughout the 2000’s be interpreted? </w:t>
      </w:r>
      <w:r w:rsidR="005363B7">
        <w:rPr>
          <w:b w:val="0"/>
          <w:sz w:val="22"/>
          <w:szCs w:val="22"/>
        </w:rPr>
        <w:t xml:space="preserve"> </w:t>
      </w:r>
      <w:r w:rsidR="009A63AD">
        <w:rPr>
          <w:b w:val="0"/>
          <w:sz w:val="22"/>
          <w:szCs w:val="22"/>
        </w:rPr>
        <w:t xml:space="preserve">How do we best model recruitment </w:t>
      </w:r>
      <w:r w:rsidR="00DA4D73">
        <w:rPr>
          <w:b w:val="0"/>
          <w:sz w:val="22"/>
          <w:szCs w:val="22"/>
        </w:rPr>
        <w:t xml:space="preserve">and its </w:t>
      </w:r>
      <w:r w:rsidR="009A63AD">
        <w:rPr>
          <w:b w:val="0"/>
          <w:sz w:val="22"/>
          <w:szCs w:val="22"/>
        </w:rPr>
        <w:t>variability in the future?</w:t>
      </w:r>
    </w:p>
    <w:p w:rsidR="00047038" w:rsidRDefault="00047038" w:rsidP="00F85B49">
      <w:pPr>
        <w:pStyle w:val="Header"/>
        <w:jc w:val="both"/>
        <w:rPr>
          <w:b w:val="0"/>
          <w:sz w:val="22"/>
          <w:szCs w:val="22"/>
        </w:rPr>
      </w:pPr>
      <w:r>
        <w:rPr>
          <w:b w:val="0"/>
          <w:sz w:val="22"/>
          <w:szCs w:val="22"/>
        </w:rPr>
        <w:t>One suggestion for sardine would be to estimate a stock recruitment relationship using years excluding those of peak biomass (or peak recruitment?).  Future recruitment would be based on this stock recruitment relationship.</w:t>
      </w:r>
      <w:r w:rsidR="0058047C">
        <w:rPr>
          <w:b w:val="0"/>
          <w:sz w:val="22"/>
          <w:szCs w:val="22"/>
        </w:rPr>
        <w:t xml:space="preserve">  Alternatively, a separate stock recruitment relationship could be estimated using years of peak biomass (or peak recruitment?) and future recruitment could switch from one ‘regime’ to another with a probability of </w:t>
      </w:r>
      <w:proofErr w:type="spellStart"/>
      <w:r w:rsidR="0058047C">
        <w:rPr>
          <w:b w:val="0"/>
          <w:sz w:val="22"/>
          <w:szCs w:val="22"/>
        </w:rPr>
        <w:t>eg</w:t>
      </w:r>
      <w:proofErr w:type="spellEnd"/>
      <w:r w:rsidR="0058047C">
        <w:rPr>
          <w:b w:val="0"/>
          <w:sz w:val="22"/>
          <w:szCs w:val="22"/>
        </w:rPr>
        <w:t xml:space="preserve"> 5/27 </w:t>
      </w:r>
      <w:r w:rsidR="00D73E63">
        <w:rPr>
          <w:b w:val="0"/>
          <w:sz w:val="22"/>
          <w:szCs w:val="22"/>
        </w:rPr>
        <w:t xml:space="preserve">(based on the period covered by the acoustic survey series) </w:t>
      </w:r>
      <w:r w:rsidR="0058047C">
        <w:rPr>
          <w:b w:val="0"/>
          <w:sz w:val="22"/>
          <w:szCs w:val="22"/>
        </w:rPr>
        <w:t xml:space="preserve">of </w:t>
      </w:r>
      <w:proofErr w:type="gramStart"/>
      <w:r w:rsidR="0058047C">
        <w:rPr>
          <w:b w:val="0"/>
          <w:sz w:val="22"/>
          <w:szCs w:val="22"/>
        </w:rPr>
        <w:t>switching</w:t>
      </w:r>
      <w:proofErr w:type="gramEnd"/>
      <w:r w:rsidR="0058047C">
        <w:rPr>
          <w:b w:val="0"/>
          <w:sz w:val="22"/>
          <w:szCs w:val="22"/>
        </w:rPr>
        <w:t xml:space="preserve"> to the ‘peak regime’</w:t>
      </w:r>
      <w:r w:rsidR="00D73E63">
        <w:rPr>
          <w:b w:val="0"/>
          <w:sz w:val="22"/>
          <w:szCs w:val="22"/>
        </w:rPr>
        <w:t xml:space="preserve"> which then continues for 5 years</w:t>
      </w:r>
      <w:r w:rsidR="0058047C">
        <w:rPr>
          <w:b w:val="0"/>
          <w:sz w:val="22"/>
          <w:szCs w:val="22"/>
        </w:rPr>
        <w:t>.</w:t>
      </w:r>
    </w:p>
    <w:p w:rsidR="0058047C" w:rsidRDefault="0058047C" w:rsidP="00F85B49">
      <w:pPr>
        <w:pStyle w:val="Header"/>
        <w:jc w:val="both"/>
        <w:rPr>
          <w:b w:val="0"/>
          <w:sz w:val="22"/>
          <w:szCs w:val="22"/>
        </w:rPr>
      </w:pPr>
      <w:r>
        <w:rPr>
          <w:b w:val="0"/>
          <w:sz w:val="22"/>
          <w:szCs w:val="22"/>
        </w:rPr>
        <w:lastRenderedPageBreak/>
        <w:t>For anchovy, we could base future recruitment on a stock recruitment relationship estimated from all years for the base case hypothesis and a stock recruitment relationship estimated from 2000 onwards for the alternative hypothesis which assumes a change in stock recruitment relationship in 2000.</w:t>
      </w:r>
    </w:p>
    <w:p w:rsidR="00D73E63" w:rsidRPr="009A63AD" w:rsidRDefault="00D73E63" w:rsidP="00F85B49">
      <w:pPr>
        <w:pStyle w:val="Header"/>
        <w:jc w:val="both"/>
        <w:rPr>
          <w:b w:val="0"/>
          <w:sz w:val="22"/>
          <w:szCs w:val="22"/>
        </w:rPr>
      </w:pPr>
    </w:p>
    <w:p w:rsidR="006D7BC9" w:rsidRDefault="009A63AD" w:rsidP="006D7BC9">
      <w:pPr>
        <w:pStyle w:val="Header"/>
        <w:numPr>
          <w:ilvl w:val="0"/>
          <w:numId w:val="7"/>
        </w:numPr>
        <w:jc w:val="both"/>
        <w:rPr>
          <w:b w:val="0"/>
          <w:sz w:val="22"/>
          <w:szCs w:val="22"/>
        </w:rPr>
      </w:pPr>
      <w:r>
        <w:rPr>
          <w:b w:val="0"/>
          <w:sz w:val="22"/>
          <w:szCs w:val="22"/>
        </w:rPr>
        <w:t>Implementation uncertainty</w:t>
      </w:r>
    </w:p>
    <w:p w:rsidR="009F105A" w:rsidRDefault="00F85B49" w:rsidP="009A63AD">
      <w:pPr>
        <w:pStyle w:val="Header"/>
        <w:jc w:val="both"/>
        <w:rPr>
          <w:b w:val="0"/>
          <w:sz w:val="22"/>
          <w:szCs w:val="22"/>
        </w:rPr>
      </w:pPr>
      <w:r>
        <w:rPr>
          <w:b w:val="0"/>
          <w:sz w:val="22"/>
          <w:szCs w:val="22"/>
        </w:rPr>
        <w:t xml:space="preserve">The anchovy TAC has been </w:t>
      </w:r>
      <w:proofErr w:type="spellStart"/>
      <w:r>
        <w:rPr>
          <w:b w:val="0"/>
          <w:sz w:val="22"/>
          <w:szCs w:val="22"/>
        </w:rPr>
        <w:t>undercaught</w:t>
      </w:r>
      <w:proofErr w:type="spellEnd"/>
      <w:r>
        <w:rPr>
          <w:b w:val="0"/>
          <w:sz w:val="22"/>
          <w:szCs w:val="22"/>
        </w:rPr>
        <w:t xml:space="preserve"> for a number of years due to a variety of reasons (weather, processing capacity, environmental limitations on processing plants etc</w:t>
      </w:r>
      <w:r w:rsidR="00D73E63">
        <w:rPr>
          <w:b w:val="0"/>
          <w:sz w:val="22"/>
          <w:szCs w:val="22"/>
        </w:rPr>
        <w:t>.</w:t>
      </w:r>
      <w:r>
        <w:rPr>
          <w:b w:val="0"/>
          <w:sz w:val="22"/>
          <w:szCs w:val="22"/>
        </w:rPr>
        <w:t>).  In addition</w:t>
      </w:r>
      <w:r w:rsidR="0013687C">
        <w:rPr>
          <w:b w:val="0"/>
          <w:sz w:val="22"/>
          <w:szCs w:val="22"/>
        </w:rPr>
        <w:t>,</w:t>
      </w:r>
      <w:r>
        <w:rPr>
          <w:b w:val="0"/>
          <w:sz w:val="22"/>
          <w:szCs w:val="22"/>
        </w:rPr>
        <w:t xml:space="preserve"> the final TAC is frequently announced </w:t>
      </w:r>
      <w:r w:rsidR="00DA4D73">
        <w:rPr>
          <w:b w:val="0"/>
          <w:sz w:val="22"/>
          <w:szCs w:val="22"/>
        </w:rPr>
        <w:t xml:space="preserve">only </w:t>
      </w:r>
      <w:r>
        <w:rPr>
          <w:b w:val="0"/>
          <w:sz w:val="22"/>
          <w:szCs w:val="22"/>
        </w:rPr>
        <w:t>at the end of July, giving just one official month to catch the remaining normal season TAC/B</w:t>
      </w:r>
      <w:r w:rsidR="00362CC6">
        <w:rPr>
          <w:rStyle w:val="FootnoteReference"/>
          <w:b w:val="0"/>
          <w:sz w:val="22"/>
          <w:szCs w:val="22"/>
        </w:rPr>
        <w:footnoteReference w:id="3"/>
      </w:r>
      <w:r w:rsidR="009A63AD">
        <w:rPr>
          <w:b w:val="0"/>
          <w:sz w:val="22"/>
          <w:szCs w:val="22"/>
        </w:rPr>
        <w:t>.  How best do we account for implementation uncertainty in the OMP, taking into account that the maximum allowable anchovy TAC could be decreased in the next OMP</w:t>
      </w:r>
      <w:r w:rsidR="003D3FC2">
        <w:rPr>
          <w:b w:val="0"/>
          <w:sz w:val="22"/>
          <w:szCs w:val="22"/>
        </w:rPr>
        <w:t xml:space="preserve"> because current industry processing capacity cannot handle as much as 600 thousand tons of fishmeal and is unlikely to be increased, </w:t>
      </w:r>
      <w:r w:rsidR="009A63AD">
        <w:rPr>
          <w:b w:val="0"/>
          <w:sz w:val="22"/>
          <w:szCs w:val="22"/>
        </w:rPr>
        <w:t xml:space="preserve"> and thus the extent of </w:t>
      </w:r>
      <w:proofErr w:type="spellStart"/>
      <w:r w:rsidR="009A63AD">
        <w:rPr>
          <w:b w:val="0"/>
          <w:sz w:val="22"/>
          <w:szCs w:val="22"/>
        </w:rPr>
        <w:t>undercatch</w:t>
      </w:r>
      <w:proofErr w:type="spellEnd"/>
      <w:r w:rsidR="009A63AD">
        <w:rPr>
          <w:b w:val="0"/>
          <w:sz w:val="22"/>
          <w:szCs w:val="22"/>
        </w:rPr>
        <w:t>, if any, may reduce.</w:t>
      </w:r>
    </w:p>
    <w:p w:rsidR="00D73E63" w:rsidRPr="009A63AD" w:rsidRDefault="00D73E63" w:rsidP="009A63AD">
      <w:pPr>
        <w:pStyle w:val="Header"/>
        <w:jc w:val="both"/>
        <w:rPr>
          <w:b w:val="0"/>
          <w:sz w:val="22"/>
          <w:szCs w:val="22"/>
        </w:rPr>
      </w:pPr>
    </w:p>
    <w:p w:rsidR="00C804FF" w:rsidRPr="00C804FF" w:rsidRDefault="00C804FF" w:rsidP="00C804FF">
      <w:pPr>
        <w:pStyle w:val="Header"/>
        <w:numPr>
          <w:ilvl w:val="0"/>
          <w:numId w:val="7"/>
        </w:numPr>
        <w:jc w:val="both"/>
        <w:rPr>
          <w:b w:val="0"/>
          <w:sz w:val="22"/>
          <w:szCs w:val="22"/>
        </w:rPr>
      </w:pPr>
      <w:r>
        <w:rPr>
          <w:b w:val="0"/>
          <w:sz w:val="22"/>
          <w:szCs w:val="22"/>
        </w:rPr>
        <w:t>No surveys</w:t>
      </w:r>
    </w:p>
    <w:p w:rsidR="00D73E63" w:rsidRDefault="009A63AD" w:rsidP="00D73E63">
      <w:pPr>
        <w:pStyle w:val="Header"/>
        <w:jc w:val="both"/>
        <w:rPr>
          <w:b w:val="0"/>
          <w:sz w:val="22"/>
          <w:szCs w:val="22"/>
        </w:rPr>
      </w:pPr>
      <w:r>
        <w:rPr>
          <w:b w:val="0"/>
          <w:sz w:val="22"/>
          <w:szCs w:val="22"/>
        </w:rPr>
        <w:t>Rules should be included to determine</w:t>
      </w:r>
      <w:r w:rsidR="001704DF">
        <w:rPr>
          <w:b w:val="0"/>
          <w:sz w:val="22"/>
          <w:szCs w:val="22"/>
        </w:rPr>
        <w:t xml:space="preserve"> the TAC </w:t>
      </w:r>
      <w:r>
        <w:rPr>
          <w:b w:val="0"/>
          <w:sz w:val="22"/>
          <w:szCs w:val="22"/>
        </w:rPr>
        <w:t>if no survey result is</w:t>
      </w:r>
      <w:r w:rsidR="001704DF">
        <w:rPr>
          <w:b w:val="0"/>
          <w:sz w:val="22"/>
          <w:szCs w:val="22"/>
        </w:rPr>
        <w:t xml:space="preserve"> available</w:t>
      </w:r>
      <w:r>
        <w:rPr>
          <w:b w:val="0"/>
          <w:sz w:val="22"/>
          <w:szCs w:val="22"/>
        </w:rPr>
        <w:t xml:space="preserve"> (see Appendix </w:t>
      </w:r>
      <w:r w:rsidR="00A72A26">
        <w:rPr>
          <w:b w:val="0"/>
          <w:sz w:val="22"/>
          <w:szCs w:val="22"/>
        </w:rPr>
        <w:t>C</w:t>
      </w:r>
      <w:r w:rsidR="005D37CE">
        <w:rPr>
          <w:b w:val="0"/>
          <w:sz w:val="22"/>
          <w:szCs w:val="22"/>
        </w:rPr>
        <w:t xml:space="preserve"> </w:t>
      </w:r>
      <w:r>
        <w:rPr>
          <w:b w:val="0"/>
          <w:sz w:val="22"/>
          <w:szCs w:val="22"/>
        </w:rPr>
        <w:t>for a proposal on this)</w:t>
      </w:r>
      <w:r w:rsidR="001704DF">
        <w:rPr>
          <w:b w:val="0"/>
          <w:sz w:val="22"/>
          <w:szCs w:val="22"/>
        </w:rPr>
        <w:t>.</w:t>
      </w:r>
    </w:p>
    <w:p w:rsidR="00D73E63" w:rsidRDefault="00D73E63" w:rsidP="00D73E63">
      <w:pPr>
        <w:pStyle w:val="Header"/>
        <w:jc w:val="both"/>
        <w:rPr>
          <w:b w:val="0"/>
          <w:sz w:val="22"/>
          <w:szCs w:val="22"/>
        </w:rPr>
      </w:pPr>
    </w:p>
    <w:p w:rsidR="00A35C36" w:rsidRDefault="00FE56E5">
      <w:pPr>
        <w:pStyle w:val="Header"/>
        <w:numPr>
          <w:ilvl w:val="0"/>
          <w:numId w:val="12"/>
        </w:numPr>
        <w:jc w:val="both"/>
        <w:rPr>
          <w:b w:val="0"/>
          <w:sz w:val="22"/>
          <w:szCs w:val="22"/>
        </w:rPr>
      </w:pPr>
      <w:r>
        <w:rPr>
          <w:b w:val="0"/>
          <w:sz w:val="22"/>
          <w:szCs w:val="22"/>
        </w:rPr>
        <w:t>Risk evaluation</w:t>
      </w:r>
    </w:p>
    <w:p w:rsidR="00FE56E5" w:rsidRDefault="00FE56E5" w:rsidP="009A63AD">
      <w:pPr>
        <w:pStyle w:val="Header"/>
        <w:jc w:val="both"/>
        <w:rPr>
          <w:rStyle w:val="BodyTextChar"/>
          <w:b w:val="0"/>
        </w:rPr>
      </w:pPr>
      <w:r>
        <w:rPr>
          <w:b w:val="0"/>
          <w:sz w:val="22"/>
          <w:szCs w:val="22"/>
        </w:rPr>
        <w:t>The tra</w:t>
      </w:r>
      <w:r w:rsidR="00CF03D3">
        <w:rPr>
          <w:b w:val="0"/>
          <w:sz w:val="22"/>
          <w:szCs w:val="22"/>
        </w:rPr>
        <w:t xml:space="preserve">de-off </w:t>
      </w:r>
      <w:r w:rsidR="00CF03D3" w:rsidRPr="00CF03D3">
        <w:rPr>
          <w:rStyle w:val="BodyTextChar"/>
          <w:b w:val="0"/>
        </w:rPr>
        <w:t xml:space="preserve">curve for OMP-08 is shown in </w:t>
      </w:r>
      <w:r w:rsidR="00CA147B">
        <w:rPr>
          <w:rStyle w:val="BodyTextChar"/>
          <w:b w:val="0"/>
        </w:rPr>
        <w:t xml:space="preserve">Figure 1 of </w:t>
      </w:r>
      <w:r w:rsidR="00CF03D3">
        <w:rPr>
          <w:rStyle w:val="BodyTextChar"/>
          <w:b w:val="0"/>
        </w:rPr>
        <w:t>Appendix D</w:t>
      </w:r>
      <w:r w:rsidR="00CF03D3" w:rsidRPr="00CF03D3">
        <w:rPr>
          <w:rStyle w:val="BodyTextChar"/>
          <w:b w:val="0"/>
        </w:rPr>
        <w:t xml:space="preserve">.  This curve is constructed by limiting </w:t>
      </w:r>
      <w:r w:rsidR="00CF03D3" w:rsidRPr="00CF03D3">
        <w:rPr>
          <w:rStyle w:val="BodyTextChar"/>
          <w:b w:val="0"/>
          <w:position w:val="-10"/>
        </w:rPr>
        <w:object w:dxaOrig="11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75pt" o:ole="">
            <v:imagedata r:id="rId10" o:title=""/>
          </v:shape>
          <o:OLEObject Type="Embed" ProgID="Equation.3" ShapeID="_x0000_i1025" DrawAspect="Content" ObjectID="_1352015067" r:id="rId11"/>
        </w:object>
      </w:r>
      <w:r w:rsidR="00CF03D3" w:rsidRPr="00CF03D3">
        <w:rPr>
          <w:rStyle w:val="BodyTextChar"/>
          <w:b w:val="0"/>
        </w:rPr>
        <w:t xml:space="preserve"> </w:t>
      </w:r>
      <w:proofErr w:type="gramStart"/>
      <w:r w:rsidR="00CF03D3" w:rsidRPr="00CF03D3">
        <w:rPr>
          <w:rStyle w:val="BodyTextChar"/>
          <w:b w:val="0"/>
        </w:rPr>
        <w:t xml:space="preserve">and </w:t>
      </w:r>
      <w:proofErr w:type="gramEnd"/>
      <w:r w:rsidR="00CF03D3" w:rsidRPr="00CF03D3">
        <w:rPr>
          <w:rStyle w:val="BodyTextChar"/>
          <w:b w:val="0"/>
          <w:position w:val="-10"/>
        </w:rPr>
        <w:object w:dxaOrig="1140" w:dyaOrig="320">
          <v:shape id="_x0000_i1026" type="#_x0000_t75" style="width:57pt;height:15.75pt" o:ole="">
            <v:imagedata r:id="rId12" o:title=""/>
          </v:shape>
          <o:OLEObject Type="Embed" ProgID="Equation.3" ShapeID="_x0000_i1026" DrawAspect="Content" ObjectID="_1352015068" r:id="rId13"/>
        </w:object>
      </w:r>
      <w:r w:rsidR="00CF03D3" w:rsidRPr="00CF03D3">
        <w:rPr>
          <w:rStyle w:val="BodyTextChar"/>
          <w:b w:val="0"/>
        </w:rPr>
        <w:t>, where the definitions of risk have been maintained from OMP</w:t>
      </w:r>
      <w:r w:rsidR="00CF03D3">
        <w:rPr>
          <w:rStyle w:val="BodyTextChar"/>
          <w:b w:val="0"/>
        </w:rPr>
        <w:t>-04:</w:t>
      </w:r>
    </w:p>
    <w:p w:rsidR="00CF03D3" w:rsidRDefault="00CF03D3" w:rsidP="00CF03D3">
      <w:pPr>
        <w:pStyle w:val="BodyText"/>
      </w:pPr>
      <w:r w:rsidRPr="007C2488">
        <w:rPr>
          <w:position w:val="-10"/>
        </w:rPr>
        <w:object w:dxaOrig="520" w:dyaOrig="320">
          <v:shape id="_x0000_i1027" type="#_x0000_t75" style="width:26.25pt;height:15.75pt" o:ole="" o:bullet="t">
            <v:imagedata r:id="rId14" o:title=""/>
          </v:shape>
          <o:OLEObject Type="Embed" ProgID="Equation.3" ShapeID="_x0000_i1027" DrawAspect="Content" ObjectID="_1352015069" r:id="rId15"/>
        </w:object>
      </w:r>
      <w:r w:rsidRPr="007C2488">
        <w:tab/>
        <w:t>- the probability that adult sardine biomass falls below the average adult sardine biomass over November 1991 and November 1994 at least once during the projection period of 20 years</w:t>
      </w:r>
      <w:r>
        <w:t>.</w:t>
      </w:r>
    </w:p>
    <w:p w:rsidR="00CF03D3" w:rsidRDefault="00CF03D3" w:rsidP="00CF03D3">
      <w:pPr>
        <w:pStyle w:val="BodyText"/>
      </w:pPr>
      <w:r w:rsidRPr="007C2488">
        <w:rPr>
          <w:position w:val="-10"/>
        </w:rPr>
        <w:object w:dxaOrig="520" w:dyaOrig="320">
          <v:shape id="_x0000_i1028" type="#_x0000_t75" style="width:26.25pt;height:15.75pt" o:ole="" o:bullet="t">
            <v:imagedata r:id="rId16" o:title=""/>
          </v:shape>
          <o:OLEObject Type="Embed" ProgID="Equation.3" ShapeID="_x0000_i1028" DrawAspect="Content" ObjectID="_1352015070" r:id="rId17"/>
        </w:object>
      </w:r>
      <w:r w:rsidRPr="007C2488">
        <w:tab/>
        <w:t xml:space="preserve">- </w:t>
      </w:r>
      <w:proofErr w:type="gramStart"/>
      <w:r w:rsidRPr="007C2488">
        <w:t>the</w:t>
      </w:r>
      <w:proofErr w:type="gramEnd"/>
      <w:r w:rsidRPr="007C2488">
        <w:t xml:space="preserve"> probability that adult anchovy biomass falls below 10% of the average adult anchovy biomass between November 1984 and November 1999 at least once during the projection period of 20 years</w:t>
      </w:r>
      <w:r>
        <w:t>.</w:t>
      </w:r>
    </w:p>
    <w:p w:rsidR="00BE4830" w:rsidRDefault="00BE4830" w:rsidP="00CF03D3">
      <w:pPr>
        <w:pStyle w:val="BodyText"/>
        <w:rPr>
          <w:b/>
          <w:szCs w:val="22"/>
        </w:rPr>
      </w:pPr>
      <w:r>
        <w:t>Objective methods of defining risk and the associated thresholds are desirable.</w:t>
      </w:r>
      <w:r w:rsidR="00F645C7">
        <w:t xml:space="preserve">  The </w:t>
      </w:r>
      <w:proofErr w:type="gramStart"/>
      <w:r w:rsidR="00F645C7">
        <w:t>criterion used during the development of OMP-08 are</w:t>
      </w:r>
      <w:proofErr w:type="gramEnd"/>
      <w:r w:rsidR="00F645C7">
        <w:t xml:space="preserve"> given in Appendix D.  How might these need (</w:t>
      </w:r>
      <w:proofErr w:type="spellStart"/>
      <w:r w:rsidR="00F645C7">
        <w:t>generalis</w:t>
      </w:r>
      <w:r w:rsidR="00D73E63">
        <w:t>able</w:t>
      </w:r>
      <w:proofErr w:type="spellEnd"/>
      <w:r w:rsidR="00F645C7">
        <w:t>) adaptation?</w:t>
      </w:r>
      <w:r>
        <w:t xml:space="preserve">  </w:t>
      </w:r>
    </w:p>
    <w:p w:rsidR="0013687C" w:rsidRDefault="0013687C" w:rsidP="00FE56E5">
      <w:pPr>
        <w:pStyle w:val="BodyText"/>
        <w:rPr>
          <w:b/>
        </w:rPr>
      </w:pPr>
    </w:p>
    <w:p w:rsidR="0013687C" w:rsidRDefault="0013687C" w:rsidP="009A63AD">
      <w:pPr>
        <w:pStyle w:val="Header"/>
        <w:jc w:val="both"/>
        <w:rPr>
          <w:b w:val="0"/>
          <w:sz w:val="22"/>
          <w:szCs w:val="22"/>
        </w:rPr>
      </w:pPr>
    </w:p>
    <w:p w:rsidR="00476171" w:rsidRDefault="00476171" w:rsidP="00953029">
      <w:pPr>
        <w:pStyle w:val="BodyText"/>
      </w:pPr>
    </w:p>
    <w:p w:rsidR="00E671CB" w:rsidRDefault="00E671CB">
      <w:pPr>
        <w:rPr>
          <w:b/>
          <w:sz w:val="28"/>
          <w:szCs w:val="28"/>
        </w:rPr>
      </w:pPr>
      <w:r>
        <w:rPr>
          <w:b/>
          <w:sz w:val="28"/>
          <w:szCs w:val="28"/>
        </w:rPr>
        <w:br w:type="page"/>
      </w:r>
    </w:p>
    <w:p w:rsidR="005D37CE" w:rsidRPr="005D37CE" w:rsidRDefault="005D37CE" w:rsidP="005D37CE">
      <w:pPr>
        <w:pStyle w:val="Heading1"/>
        <w:jc w:val="center"/>
        <w:rPr>
          <w:b/>
          <w:sz w:val="28"/>
          <w:szCs w:val="28"/>
          <w:u w:val="none"/>
        </w:rPr>
      </w:pPr>
      <w:r w:rsidRPr="005D37CE">
        <w:rPr>
          <w:b/>
          <w:sz w:val="28"/>
          <w:szCs w:val="28"/>
          <w:u w:val="none"/>
        </w:rPr>
        <w:lastRenderedPageBreak/>
        <w:t>APPENDIX</w:t>
      </w:r>
      <w:r>
        <w:rPr>
          <w:b/>
          <w:sz w:val="28"/>
          <w:szCs w:val="28"/>
          <w:u w:val="none"/>
        </w:rPr>
        <w:t xml:space="preserve"> A</w:t>
      </w:r>
      <w:r w:rsidRPr="005D37CE">
        <w:rPr>
          <w:b/>
          <w:sz w:val="28"/>
          <w:szCs w:val="28"/>
          <w:u w:val="none"/>
        </w:rPr>
        <w:t xml:space="preserve">: </w:t>
      </w:r>
      <w:r>
        <w:rPr>
          <w:b/>
          <w:sz w:val="28"/>
          <w:szCs w:val="28"/>
          <w:u w:val="none"/>
        </w:rPr>
        <w:t>Proposed Sardine Stock Structure Hypotheses (extracted from MCM/2010/SWG-PEL/37)</w:t>
      </w:r>
    </w:p>
    <w:p w:rsidR="005D37CE" w:rsidRPr="005D37CE" w:rsidRDefault="005D37CE" w:rsidP="005D37CE">
      <w:pPr>
        <w:rPr>
          <w:sz w:val="28"/>
          <w:szCs w:val="28"/>
        </w:rPr>
      </w:pPr>
    </w:p>
    <w:p w:rsidR="005D37CE" w:rsidRPr="00585A38" w:rsidRDefault="005D37CE" w:rsidP="005D37CE">
      <w:pPr>
        <w:pStyle w:val="BodyText"/>
        <w:numPr>
          <w:ilvl w:val="0"/>
          <w:numId w:val="11"/>
        </w:numPr>
        <w:tabs>
          <w:tab w:val="clear" w:pos="1134"/>
          <w:tab w:val="clear" w:pos="3119"/>
          <w:tab w:val="clear" w:pos="9356"/>
        </w:tabs>
        <w:rPr>
          <w:rFonts w:cs="Arial"/>
          <w:iCs/>
          <w:color w:val="000000" w:themeColor="text1"/>
          <w:szCs w:val="28"/>
          <w:lang w:val="en-ZA" w:eastAsia="en-ZA"/>
        </w:rPr>
      </w:pPr>
      <w:r>
        <w:rPr>
          <w:color w:val="000000" w:themeColor="text1"/>
        </w:rPr>
        <w:t>A single sardine stock will be considered.  The single area modelled will correspond to the area west of Port Alfred.  Given this assumption, changes in distribution within this area over the period under consideration will not impact the population model to be used. To the extent that estimates or projections may be required (for example for models linking penguin dynamics to fish abundance in a smaller region), this can be achieved through proportional allocation by area by use of historical estimates for these proportions from past survey results.</w:t>
      </w:r>
    </w:p>
    <w:p w:rsidR="005D37CE" w:rsidRPr="00585A38" w:rsidRDefault="005D37CE" w:rsidP="005D37CE">
      <w:pPr>
        <w:pStyle w:val="BodyText"/>
        <w:numPr>
          <w:ilvl w:val="0"/>
          <w:numId w:val="11"/>
        </w:numPr>
        <w:tabs>
          <w:tab w:val="clear" w:pos="1134"/>
          <w:tab w:val="clear" w:pos="3119"/>
          <w:tab w:val="clear" w:pos="9356"/>
        </w:tabs>
        <w:rPr>
          <w:rFonts w:cs="Arial"/>
          <w:iCs/>
          <w:color w:val="000000" w:themeColor="text1"/>
          <w:szCs w:val="28"/>
          <w:lang w:val="en-ZA" w:eastAsia="en-ZA"/>
        </w:rPr>
      </w:pPr>
      <w:r>
        <w:rPr>
          <w:color w:val="000000" w:themeColor="text1"/>
        </w:rPr>
        <w:t>Two discrete sardine stocks will be considered.  A “western” stock will be modelled to be distributed throughout the “western area”, defined as the area west of Cape Agulhas.  An “eastern” stock will be modelled to be distributed throughout the “eastern area”, defined as the area east of Cape Agulhas.  The two stocks will be assumed to be independent and the model will assume no mixing between the stocks.  Previous work suggested that the existing data could be reasonably explained by this hypothesis (de Moor and Butterworth 2009a), with the observed “peak” in abundance in the early 2000’s explained by a larger increase in the “eastern” stock than the “western” stock.</w:t>
      </w:r>
    </w:p>
    <w:p w:rsidR="005D37CE" w:rsidRPr="0068301C" w:rsidRDefault="005D37CE" w:rsidP="005D37CE">
      <w:pPr>
        <w:pStyle w:val="BodyText"/>
        <w:numPr>
          <w:ilvl w:val="0"/>
          <w:numId w:val="11"/>
        </w:numPr>
        <w:tabs>
          <w:tab w:val="clear" w:pos="1134"/>
          <w:tab w:val="clear" w:pos="3119"/>
          <w:tab w:val="clear" w:pos="9356"/>
        </w:tabs>
        <w:rPr>
          <w:rFonts w:cs="Arial"/>
          <w:iCs/>
          <w:color w:val="000000" w:themeColor="text1"/>
          <w:szCs w:val="28"/>
          <w:lang w:val="en-ZA" w:eastAsia="en-ZA"/>
        </w:rPr>
      </w:pPr>
      <w:r w:rsidRPr="00EE693C">
        <w:rPr>
          <w:color w:val="000000" w:themeColor="text1"/>
        </w:rPr>
        <w:t>Two partially overlapping sardine populations will be considered.</w:t>
      </w:r>
      <w:r>
        <w:rPr>
          <w:color w:val="000000" w:themeColor="text1"/>
        </w:rPr>
        <w:t xml:space="preserve">  The two discrete stock hypothesis will be amended to allow for mixing in the following manner (de Moor and Butterworth 2009b):</w:t>
      </w:r>
    </w:p>
    <w:p w:rsidR="005D37CE" w:rsidRDefault="005D37CE" w:rsidP="005D37CE">
      <w:pPr>
        <w:pStyle w:val="BodyText"/>
        <w:ind w:left="720"/>
        <w:rPr>
          <w:lang w:val="en-US"/>
        </w:rPr>
      </w:pPr>
      <w:r>
        <w:rPr>
          <w:color w:val="000000" w:themeColor="text1"/>
        </w:rPr>
        <w:t>a) Movement</w:t>
      </w:r>
      <w:r>
        <w:rPr>
          <w:lang w:val="en-US"/>
        </w:rPr>
        <w:t xml:space="preserve"> of recruits from the “western” stock to the “eastern” stock in the November in which they become 1-year-olds</w:t>
      </w:r>
      <w:r>
        <w:rPr>
          <w:rStyle w:val="FootnoteReference"/>
          <w:lang w:val="en-US"/>
        </w:rPr>
        <w:footnoteReference w:id="4"/>
      </w:r>
      <w:r>
        <w:rPr>
          <w:lang w:val="en-US"/>
        </w:rPr>
        <w:t>.  This movement is proposed to be biomass-dependent, i.e. the greater the “western” stock biomass, the greater the migration of recruits to the “eastern” stock.  Alternatively this could be dependent on the recruit biomass, i.e. a greater migration of recruits would occur during years of good recruitment to the “western” stock.</w:t>
      </w:r>
    </w:p>
    <w:p w:rsidR="005D37CE" w:rsidRDefault="005D37CE" w:rsidP="005D37CE">
      <w:pPr>
        <w:pStyle w:val="BodyText"/>
        <w:ind w:left="720"/>
        <w:rPr>
          <w:lang w:val="en-US"/>
        </w:rPr>
      </w:pPr>
      <w:r>
        <w:rPr>
          <w:lang w:val="en-US"/>
        </w:rPr>
        <w:t xml:space="preserve">b) </w:t>
      </w:r>
      <w:r w:rsidRPr="000D7007">
        <w:rPr>
          <w:lang w:val="en-US"/>
        </w:rPr>
        <w:t>Movement of adults from the “eastern” stock to the “western” stock in the November in which they become 2+-year-olds.</w:t>
      </w:r>
      <w:r>
        <w:rPr>
          <w:lang w:val="en-US"/>
        </w:rPr>
        <w:t xml:space="preserve">  This movement is proposed to be independent of the stock biomass in a random effects type model framework (the process of fitting the model to the data will indicate to what extent this movement occurred each year).</w:t>
      </w:r>
    </w:p>
    <w:p w:rsidR="005D37CE" w:rsidRDefault="005D37CE" w:rsidP="005D37CE">
      <w:pPr>
        <w:pStyle w:val="BodyText"/>
        <w:ind w:left="720"/>
        <w:rPr>
          <w:lang w:val="en-US"/>
        </w:rPr>
      </w:pPr>
      <w:r>
        <w:rPr>
          <w:lang w:val="en-US"/>
        </w:rPr>
        <w:t xml:space="preserve">c) </w:t>
      </w:r>
      <w:r w:rsidRPr="000D7007">
        <w:rPr>
          <w:lang w:val="en-US"/>
        </w:rPr>
        <w:t>Recruitment to the “western” stock depends on the</w:t>
      </w:r>
      <w:r>
        <w:rPr>
          <w:lang w:val="en-US"/>
        </w:rPr>
        <w:t xml:space="preserve"> spawning biomass</w:t>
      </w:r>
      <w:r w:rsidRPr="000D7007">
        <w:rPr>
          <w:lang w:val="en-US"/>
        </w:rPr>
        <w:t xml:space="preserve"> of the “western” and “eastern” stocks</w:t>
      </w:r>
      <w:r>
        <w:rPr>
          <w:lang w:val="en-US"/>
        </w:rPr>
        <w:t>.</w:t>
      </w:r>
    </w:p>
    <w:p w:rsidR="005D37CE" w:rsidRDefault="005D37CE" w:rsidP="005D37CE">
      <w:pPr>
        <w:pStyle w:val="BodyText"/>
        <w:ind w:left="720"/>
        <w:rPr>
          <w:lang w:val="en-US"/>
        </w:rPr>
      </w:pPr>
      <w:r>
        <w:rPr>
          <w:lang w:val="en-US"/>
        </w:rPr>
        <w:t>Previous attempts at fitting a model of two partially overlapping sardine populations to the available data were not successful (de Moor and Butterworth 2009b); however this will be attempted again with the updated data set, which will now include ageing data that have recently become available.</w:t>
      </w:r>
    </w:p>
    <w:p w:rsidR="005D37CE" w:rsidRDefault="005D37CE" w:rsidP="005D37CE">
      <w:pPr>
        <w:pStyle w:val="Heading2"/>
      </w:pPr>
      <w:r>
        <w:lastRenderedPageBreak/>
        <w:t>References</w:t>
      </w:r>
    </w:p>
    <w:p w:rsidR="005D37CE" w:rsidRDefault="005D37CE" w:rsidP="00E671CB">
      <w:pPr>
        <w:pStyle w:val="BodyText2"/>
      </w:pPr>
      <w:proofErr w:type="gramStart"/>
      <w:r>
        <w:t>de</w:t>
      </w:r>
      <w:proofErr w:type="gramEnd"/>
      <w:r>
        <w:t xml:space="preserve"> Moor CL and Butterworth DS 2009a. </w:t>
      </w:r>
      <w:proofErr w:type="gramStart"/>
      <w:r>
        <w:t>A Two Discrete Stock Hypothesis for South African Sardine Resource.</w:t>
      </w:r>
      <w:proofErr w:type="gramEnd"/>
      <w:r>
        <w:t xml:space="preserve"> </w:t>
      </w:r>
      <w:proofErr w:type="gramStart"/>
      <w:r>
        <w:t>Unpublished MCM Document MCM/2009/SWG-PEL/47.</w:t>
      </w:r>
      <w:proofErr w:type="gramEnd"/>
      <w:r>
        <w:t xml:space="preserve"> 14pp</w:t>
      </w:r>
    </w:p>
    <w:p w:rsidR="005D37CE" w:rsidRDefault="005D37CE" w:rsidP="00E671CB">
      <w:pPr>
        <w:pStyle w:val="BodyText2"/>
      </w:pPr>
      <w:proofErr w:type="gramStart"/>
      <w:r>
        <w:t>de</w:t>
      </w:r>
      <w:proofErr w:type="gramEnd"/>
      <w:r>
        <w:t xml:space="preserve"> Moor CL and Butterworth DS 2009b. </w:t>
      </w:r>
      <w:proofErr w:type="gramStart"/>
      <w:r>
        <w:t>Some Initial Attempts at Fitting a Two Mixing Stock Hypothesis for the South African Sardine Resource.</w:t>
      </w:r>
      <w:proofErr w:type="gramEnd"/>
      <w:r>
        <w:t xml:space="preserve"> Document presented to the MARAM International Stock Assessment Workshop, Cape Town, </w:t>
      </w:r>
      <w:proofErr w:type="gramStart"/>
      <w:r>
        <w:t>30</w:t>
      </w:r>
      <w:proofErr w:type="gramEnd"/>
      <w:r>
        <w:t xml:space="preserve"> November-4 December 2009. MARAM IWS/DEC09/SP/2 3pp</w:t>
      </w:r>
    </w:p>
    <w:p w:rsidR="005D37CE" w:rsidRPr="00EE693C" w:rsidRDefault="005D37CE" w:rsidP="005D37CE">
      <w:pPr>
        <w:pStyle w:val="Header"/>
        <w:jc w:val="left"/>
        <w:rPr>
          <w:rStyle w:val="BodyTextChar"/>
          <w:b w:val="0"/>
          <w:highlight w:val="lightGray"/>
        </w:rPr>
      </w:pPr>
    </w:p>
    <w:p w:rsidR="00A72A26" w:rsidRDefault="00A72A26">
      <w:pPr>
        <w:rPr>
          <w:u w:val="single"/>
        </w:rPr>
      </w:pPr>
      <w:r>
        <w:rPr>
          <w:u w:val="single"/>
        </w:rPr>
        <w:br w:type="page"/>
      </w:r>
    </w:p>
    <w:p w:rsidR="00A72A26" w:rsidRPr="005D37CE" w:rsidRDefault="00A72A26" w:rsidP="00A72A26">
      <w:pPr>
        <w:pStyle w:val="Heading1"/>
        <w:jc w:val="center"/>
        <w:rPr>
          <w:b/>
          <w:sz w:val="28"/>
          <w:szCs w:val="28"/>
          <w:u w:val="none"/>
        </w:rPr>
      </w:pPr>
      <w:r w:rsidRPr="005D37CE">
        <w:rPr>
          <w:b/>
          <w:sz w:val="28"/>
          <w:szCs w:val="28"/>
          <w:u w:val="none"/>
        </w:rPr>
        <w:lastRenderedPageBreak/>
        <w:t>APPENDIX</w:t>
      </w:r>
      <w:r>
        <w:rPr>
          <w:b/>
          <w:sz w:val="28"/>
          <w:szCs w:val="28"/>
          <w:u w:val="none"/>
        </w:rPr>
        <w:t xml:space="preserve"> B</w:t>
      </w:r>
      <w:r w:rsidRPr="005D37CE">
        <w:rPr>
          <w:b/>
          <w:sz w:val="28"/>
          <w:szCs w:val="28"/>
          <w:u w:val="none"/>
        </w:rPr>
        <w:t xml:space="preserve">: </w:t>
      </w:r>
      <w:r>
        <w:rPr>
          <w:b/>
          <w:sz w:val="28"/>
          <w:szCs w:val="28"/>
          <w:u w:val="none"/>
        </w:rPr>
        <w:t>Stock Recruitment Relationships</w:t>
      </w:r>
    </w:p>
    <w:p w:rsidR="0074044E" w:rsidRDefault="0074044E" w:rsidP="0074044E">
      <w:pPr>
        <w:pStyle w:val="BodyText"/>
      </w:pPr>
    </w:p>
    <w:p w:rsidR="0074044E" w:rsidRDefault="0074044E" w:rsidP="0074044E">
      <w:pPr>
        <w:pStyle w:val="BodyText"/>
      </w:pPr>
      <w:r>
        <w:t xml:space="preserve">The anchovy November </w:t>
      </w:r>
      <w:proofErr w:type="spellStart"/>
      <w:r>
        <w:t>spawner</w:t>
      </w:r>
      <w:proofErr w:type="spellEnd"/>
      <w:r>
        <w:t xml:space="preserve"> (1+) biomass time series is shown in Figure 1 and the May recruitment time series is shown in Figure 2 for the base case (single stock recruitment curve) hypothesis, A</w:t>
      </w:r>
      <w:r w:rsidRPr="0074044E">
        <w:rPr>
          <w:vertAlign w:val="subscript"/>
        </w:rPr>
        <w:t>0</w:t>
      </w:r>
      <w:r>
        <w:t>.  The (November) anchovy stock-recruitment relationship is plotted in Figure 3</w:t>
      </w:r>
      <w:r w:rsidR="00E671CB">
        <w:t xml:space="preserve"> for A</w:t>
      </w:r>
      <w:r w:rsidR="00E671CB" w:rsidRPr="00E671CB">
        <w:rPr>
          <w:vertAlign w:val="subscript"/>
        </w:rPr>
        <w:t>0</w:t>
      </w:r>
      <w:r w:rsidR="00E671CB">
        <w:t xml:space="preserve"> and an alternative assuming two stock recruitment relationships over the duration of the assessment</w:t>
      </w:r>
      <w:r>
        <w:t>.</w:t>
      </w:r>
    </w:p>
    <w:p w:rsidR="00854460" w:rsidRDefault="00854460" w:rsidP="0074044E">
      <w:pPr>
        <w:pStyle w:val="BodyText"/>
      </w:pPr>
    </w:p>
    <w:p w:rsidR="00854460" w:rsidRDefault="00854460" w:rsidP="0074044E">
      <w:pPr>
        <w:pStyle w:val="BodyText"/>
      </w:pPr>
      <w:r>
        <w:t>The sardine November 1+ biomass time series is shown in Figure 4 and the May recruitment time series is shown in Figure 5.  The (November) sardine stock-recruitment relationship is plotted in Figure 6, using a hockey stick curve for all years except 2000-2004 for which constant mean recruitment was assumed.</w:t>
      </w:r>
    </w:p>
    <w:p w:rsidR="0074044E" w:rsidRDefault="0074044E" w:rsidP="0074044E">
      <w:pPr>
        <w:pStyle w:val="BodyText"/>
      </w:pPr>
    </w:p>
    <w:p w:rsidR="0074044E" w:rsidRDefault="0074044E" w:rsidP="0074044E">
      <w:pPr>
        <w:pStyle w:val="BodyText"/>
        <w:jc w:val="center"/>
      </w:pPr>
      <w:r>
        <w:rPr>
          <w:noProof/>
          <w:lang w:val="en-ZA" w:eastAsia="en-ZA"/>
        </w:rPr>
        <w:drawing>
          <wp:inline distT="0" distB="0" distL="0" distR="0">
            <wp:extent cx="2876550" cy="19621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876550" cy="1962150"/>
                    </a:xfrm>
                    <a:prstGeom prst="rect">
                      <a:avLst/>
                    </a:prstGeom>
                    <a:noFill/>
                    <a:ln w="9525">
                      <a:noFill/>
                      <a:miter lim="800000"/>
                      <a:headEnd/>
                      <a:tailEnd/>
                    </a:ln>
                  </pic:spPr>
                </pic:pic>
              </a:graphicData>
            </a:graphic>
          </wp:inline>
        </w:drawing>
      </w:r>
      <w:r>
        <w:rPr>
          <w:noProof/>
          <w:lang w:val="en-ZA" w:eastAsia="en-ZA"/>
        </w:rPr>
        <w:drawing>
          <wp:inline distT="0" distB="0" distL="0" distR="0">
            <wp:extent cx="2876550" cy="19907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2876550" cy="1990725"/>
                    </a:xfrm>
                    <a:prstGeom prst="rect">
                      <a:avLst/>
                    </a:prstGeom>
                    <a:noFill/>
                    <a:ln w="9525">
                      <a:noFill/>
                      <a:miter lim="800000"/>
                      <a:headEnd/>
                      <a:tailEnd/>
                    </a:ln>
                  </pic:spPr>
                </pic:pic>
              </a:graphicData>
            </a:graphic>
          </wp:inline>
        </w:drawing>
      </w:r>
    </w:p>
    <w:p w:rsidR="0074044E" w:rsidRDefault="0074044E" w:rsidP="0074044E">
      <w:pPr>
        <w:pStyle w:val="BodyText"/>
      </w:pPr>
      <w:proofErr w:type="gramStart"/>
      <w:r w:rsidRPr="007C7992">
        <w:rPr>
          <w:b/>
        </w:rPr>
        <w:t xml:space="preserve">Figure </w:t>
      </w:r>
      <w:r>
        <w:rPr>
          <w:b/>
        </w:rPr>
        <w:t>1</w:t>
      </w:r>
      <w:r w:rsidRPr="007C7992">
        <w:rPr>
          <w:b/>
        </w:rPr>
        <w:t>.</w:t>
      </w:r>
      <w:proofErr w:type="gramEnd"/>
      <w:r w:rsidRPr="00641FE6">
        <w:t xml:space="preserve">  Acoustic survey </w:t>
      </w:r>
      <w:r>
        <w:t>results</w:t>
      </w:r>
      <w:r w:rsidRPr="00641FE6">
        <w:t xml:space="preserve"> and</w:t>
      </w:r>
      <w:r>
        <w:t xml:space="preserve"> A</w:t>
      </w:r>
      <w:r w:rsidRPr="00F61555">
        <w:rPr>
          <w:vertAlign w:val="subscript"/>
        </w:rPr>
        <w:t>0</w:t>
      </w:r>
      <w:r>
        <w:t xml:space="preserve"> </w:t>
      </w:r>
      <w:r w:rsidRPr="00641FE6">
        <w:t xml:space="preserve">model </w:t>
      </w:r>
      <w:r>
        <w:t>estimates for</w:t>
      </w:r>
      <w:r w:rsidRPr="00641FE6">
        <w:t xml:space="preserve"> November anchovy </w:t>
      </w:r>
      <w:proofErr w:type="spellStart"/>
      <w:r w:rsidRPr="00641FE6">
        <w:t>spawner</w:t>
      </w:r>
      <w:proofErr w:type="spellEnd"/>
      <w:r w:rsidRPr="00641FE6">
        <w:t xml:space="preserve"> biomass from 1984 to </w:t>
      </w:r>
      <w:r>
        <w:t>2</w:t>
      </w:r>
      <w:r w:rsidRPr="00641FE6">
        <w:t>00</w:t>
      </w:r>
      <w:r>
        <w:t>9.</w:t>
      </w:r>
      <w:r w:rsidRPr="00291E16">
        <w:t xml:space="preserve"> </w:t>
      </w:r>
      <w:r>
        <w:t>The survey indices are shown with 95% confidence intervals.</w:t>
      </w:r>
      <w:r w:rsidRPr="00641FE6">
        <w:t xml:space="preserve"> The </w:t>
      </w:r>
      <w:r>
        <w:t xml:space="preserve">standardised </w:t>
      </w:r>
      <w:r w:rsidRPr="00641FE6">
        <w:t>residuals from the fit are given in the right hand plot.</w:t>
      </w:r>
      <w:r w:rsidR="0025118F">
        <w:t xml:space="preserve">  </w:t>
      </w:r>
      <w:proofErr w:type="gramStart"/>
      <w:r w:rsidR="002974EB">
        <w:t>Figure t</w:t>
      </w:r>
      <w:r w:rsidR="0025118F">
        <w:t>aken from de Moor and Butterworth (2010</w:t>
      </w:r>
      <w:r w:rsidR="002974EB">
        <w:t>a</w:t>
      </w:r>
      <w:r w:rsidR="0025118F">
        <w:t>).</w:t>
      </w:r>
      <w:proofErr w:type="gramEnd"/>
    </w:p>
    <w:p w:rsidR="0074044E" w:rsidRDefault="0074044E">
      <w:pPr>
        <w:rPr>
          <w:u w:val="single"/>
        </w:rPr>
      </w:pPr>
    </w:p>
    <w:p w:rsidR="0074044E" w:rsidRPr="00B4074F" w:rsidRDefault="0074044E" w:rsidP="0074044E">
      <w:pPr>
        <w:pStyle w:val="BodyText"/>
        <w:jc w:val="center"/>
      </w:pPr>
      <w:r>
        <w:rPr>
          <w:noProof/>
          <w:lang w:val="en-ZA" w:eastAsia="en-ZA"/>
        </w:rPr>
        <w:drawing>
          <wp:inline distT="0" distB="0" distL="0" distR="0">
            <wp:extent cx="2876550" cy="19621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2876550" cy="1962150"/>
                    </a:xfrm>
                    <a:prstGeom prst="rect">
                      <a:avLst/>
                    </a:prstGeom>
                    <a:noFill/>
                    <a:ln w="9525">
                      <a:noFill/>
                      <a:miter lim="800000"/>
                      <a:headEnd/>
                      <a:tailEnd/>
                    </a:ln>
                  </pic:spPr>
                </pic:pic>
              </a:graphicData>
            </a:graphic>
          </wp:inline>
        </w:drawing>
      </w:r>
      <w:r>
        <w:rPr>
          <w:noProof/>
          <w:lang w:val="en-ZA" w:eastAsia="en-ZA"/>
        </w:rPr>
        <w:drawing>
          <wp:inline distT="0" distB="0" distL="0" distR="0">
            <wp:extent cx="2876550" cy="19621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2876550" cy="1962150"/>
                    </a:xfrm>
                    <a:prstGeom prst="rect">
                      <a:avLst/>
                    </a:prstGeom>
                    <a:noFill/>
                    <a:ln w="9525">
                      <a:noFill/>
                      <a:miter lim="800000"/>
                      <a:headEnd/>
                      <a:tailEnd/>
                    </a:ln>
                  </pic:spPr>
                </pic:pic>
              </a:graphicData>
            </a:graphic>
          </wp:inline>
        </w:drawing>
      </w:r>
    </w:p>
    <w:p w:rsidR="0074044E" w:rsidRDefault="002974EB" w:rsidP="0074044E">
      <w:pPr>
        <w:pStyle w:val="BodyText"/>
      </w:pPr>
      <w:proofErr w:type="gramStart"/>
      <w:r>
        <w:rPr>
          <w:b/>
        </w:rPr>
        <w:t>Figure 2</w:t>
      </w:r>
      <w:r w:rsidR="0074044E" w:rsidRPr="00CA17F9">
        <w:rPr>
          <w:b/>
        </w:rPr>
        <w:t>.</w:t>
      </w:r>
      <w:proofErr w:type="gramEnd"/>
      <w:r w:rsidR="0074044E" w:rsidRPr="00641FE6">
        <w:t xml:space="preserve"> </w:t>
      </w:r>
      <w:r w:rsidR="0074044E">
        <w:t>Acoustic survey results</w:t>
      </w:r>
      <w:r w:rsidR="0074044E" w:rsidRPr="00641FE6">
        <w:t xml:space="preserve"> and</w:t>
      </w:r>
      <w:r w:rsidR="0074044E">
        <w:t xml:space="preserve"> A</w:t>
      </w:r>
      <w:r w:rsidR="0074044E" w:rsidRPr="00AE540B">
        <w:rPr>
          <w:vertAlign w:val="subscript"/>
        </w:rPr>
        <w:t>0</w:t>
      </w:r>
      <w:r w:rsidR="0074044E">
        <w:t xml:space="preserve"> </w:t>
      </w:r>
      <w:r w:rsidR="0074044E" w:rsidRPr="00641FE6">
        <w:t xml:space="preserve">model </w:t>
      </w:r>
      <w:r w:rsidR="0074044E">
        <w:t>estimates for</w:t>
      </w:r>
      <w:r w:rsidR="0074044E" w:rsidRPr="00641FE6">
        <w:t xml:space="preserve"> </w:t>
      </w:r>
      <w:r w:rsidR="0074044E">
        <w:t xml:space="preserve">anchovy </w:t>
      </w:r>
      <w:r w:rsidR="0074044E" w:rsidRPr="00641FE6">
        <w:t>recruitment numbers from May 1985 to May 200</w:t>
      </w:r>
      <w:r w:rsidR="0074044E">
        <w:t>9</w:t>
      </w:r>
      <w:r w:rsidR="0074044E" w:rsidRPr="00641FE6">
        <w:t>.</w:t>
      </w:r>
      <w:r w:rsidR="0074044E">
        <w:t xml:space="preserve"> The survey indices are shown with 95% confidence intervals. The standardised residuals from the fit are given in the right hand plot.</w:t>
      </w:r>
      <w:r>
        <w:t xml:space="preserve"> </w:t>
      </w:r>
      <w:proofErr w:type="gramStart"/>
      <w:r>
        <w:t>Figure taken from de Moor and Butterworth (2010a).</w:t>
      </w:r>
      <w:proofErr w:type="gramEnd"/>
    </w:p>
    <w:p w:rsidR="0074044E" w:rsidRDefault="0074044E">
      <w:pPr>
        <w:rPr>
          <w:u w:val="single"/>
        </w:rPr>
      </w:pPr>
    </w:p>
    <w:p w:rsidR="0074044E" w:rsidRDefault="002974EB" w:rsidP="0074044E">
      <w:pPr>
        <w:pStyle w:val="BodyText"/>
      </w:pPr>
      <w:r w:rsidRPr="002974EB">
        <w:rPr>
          <w:noProof/>
          <w:lang w:val="en-ZA" w:eastAsia="en-ZA"/>
        </w:rPr>
        <w:lastRenderedPageBreak/>
        <w:drawing>
          <wp:inline distT="0" distB="0" distL="0" distR="0">
            <wp:extent cx="2867025" cy="1952625"/>
            <wp:effectExtent l="19050" t="0" r="9525"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srcRect/>
                    <a:stretch>
                      <a:fillRect/>
                    </a:stretch>
                  </pic:blipFill>
                  <pic:spPr bwMode="auto">
                    <a:xfrm>
                      <a:off x="0" y="0"/>
                      <a:ext cx="2867025" cy="1952625"/>
                    </a:xfrm>
                    <a:prstGeom prst="rect">
                      <a:avLst/>
                    </a:prstGeom>
                    <a:noFill/>
                    <a:ln w="9525">
                      <a:noFill/>
                      <a:miter lim="800000"/>
                      <a:headEnd/>
                      <a:tailEnd/>
                    </a:ln>
                  </pic:spPr>
                </pic:pic>
              </a:graphicData>
            </a:graphic>
          </wp:inline>
        </w:drawing>
      </w:r>
      <w:r w:rsidRPr="002974EB">
        <w:rPr>
          <w:noProof/>
          <w:lang w:val="en-ZA" w:eastAsia="en-ZA"/>
        </w:rPr>
        <w:drawing>
          <wp:inline distT="0" distB="0" distL="0" distR="0">
            <wp:extent cx="2867025" cy="1952625"/>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srcRect/>
                    <a:stretch>
                      <a:fillRect/>
                    </a:stretch>
                  </pic:blipFill>
                  <pic:spPr bwMode="auto">
                    <a:xfrm>
                      <a:off x="0" y="0"/>
                      <a:ext cx="2867025" cy="1952625"/>
                    </a:xfrm>
                    <a:prstGeom prst="rect">
                      <a:avLst/>
                    </a:prstGeom>
                    <a:noFill/>
                    <a:ln w="9525">
                      <a:noFill/>
                      <a:miter lim="800000"/>
                      <a:headEnd/>
                      <a:tailEnd/>
                    </a:ln>
                  </pic:spPr>
                </pic:pic>
              </a:graphicData>
            </a:graphic>
          </wp:inline>
        </w:drawing>
      </w:r>
      <w:proofErr w:type="gramStart"/>
      <w:r w:rsidR="0074044E" w:rsidRPr="0032634A">
        <w:rPr>
          <w:b/>
        </w:rPr>
        <w:t xml:space="preserve">Figure </w:t>
      </w:r>
      <w:r>
        <w:rPr>
          <w:b/>
        </w:rPr>
        <w:t>3</w:t>
      </w:r>
      <w:r w:rsidR="0074044E" w:rsidRPr="0032634A">
        <w:rPr>
          <w:b/>
        </w:rPr>
        <w:t>.</w:t>
      </w:r>
      <w:proofErr w:type="gramEnd"/>
      <w:r w:rsidR="0074044E" w:rsidRPr="00641FE6">
        <w:t xml:space="preserve"> </w:t>
      </w:r>
      <w:r w:rsidR="0074044E">
        <w:t xml:space="preserve"> </w:t>
      </w:r>
      <w:r w:rsidR="0074044E" w:rsidRPr="00641FE6">
        <w:t xml:space="preserve">Model predicted anchovy recruitment (in November) plotted against </w:t>
      </w:r>
      <w:proofErr w:type="spellStart"/>
      <w:r w:rsidR="0074044E" w:rsidRPr="00641FE6">
        <w:t>spawner</w:t>
      </w:r>
      <w:proofErr w:type="spellEnd"/>
      <w:r w:rsidR="0074044E" w:rsidRPr="00641FE6">
        <w:t xml:space="preserve"> biomass from November 1984 to November 200</w:t>
      </w:r>
      <w:r w:rsidR="0074044E">
        <w:t>8</w:t>
      </w:r>
      <w:r w:rsidR="0074044E" w:rsidRPr="00641FE6">
        <w:t xml:space="preserve">, </w:t>
      </w:r>
      <w:r w:rsidR="0074044E">
        <w:t xml:space="preserve">showing the model estimated </w:t>
      </w:r>
      <w:proofErr w:type="spellStart"/>
      <w:r w:rsidR="0074044E">
        <w:t>Beverton</w:t>
      </w:r>
      <w:proofErr w:type="spellEnd"/>
      <w:r w:rsidR="0074044E">
        <w:t xml:space="preserve"> Holt</w:t>
      </w:r>
      <w:r w:rsidR="0074044E" w:rsidRPr="00641FE6">
        <w:t xml:space="preserve"> stock-recruit </w:t>
      </w:r>
      <w:r w:rsidR="0074044E">
        <w:t>relationship for a) the proposed base case scenario of a single stock-recruit relationship in all years and b) an alternative scenario where one stock-recruit relationship is estimated from 1984 to 1999 and another from 2000 to 2008</w:t>
      </w:r>
      <w:r w:rsidR="0074044E" w:rsidRPr="004A6F22">
        <w:t>.</w:t>
      </w:r>
      <w:r w:rsidR="0074044E">
        <w:t xml:space="preserve"> The dotted line indicates the replacement line.</w:t>
      </w:r>
      <w:r>
        <w:t xml:space="preserve">  </w:t>
      </w:r>
      <w:proofErr w:type="gramStart"/>
      <w:r>
        <w:t xml:space="preserve">Plots taken from de Moor and Butterworth </w:t>
      </w:r>
      <w:r w:rsidR="00B7034A">
        <w:t>(</w:t>
      </w:r>
      <w:r>
        <w:t>2010b</w:t>
      </w:r>
      <w:r w:rsidR="00B7034A">
        <w:t>)</w:t>
      </w:r>
      <w:r>
        <w:t>.</w:t>
      </w:r>
      <w:proofErr w:type="gramEnd"/>
    </w:p>
    <w:p w:rsidR="00E671CB" w:rsidRDefault="00E671CB">
      <w:pPr>
        <w:rPr>
          <w:u w:val="single"/>
        </w:rPr>
      </w:pPr>
    </w:p>
    <w:p w:rsidR="00E671CB" w:rsidRPr="006159BC" w:rsidRDefault="00F93929" w:rsidP="00E671CB">
      <w:pPr>
        <w:jc w:val="center"/>
      </w:pPr>
      <w:r>
        <w:rPr>
          <w:noProof/>
          <w:lang w:val="en-ZA" w:eastAsia="en-ZA"/>
        </w:rPr>
        <w:drawing>
          <wp:inline distT="0" distB="0" distL="0" distR="0">
            <wp:extent cx="2867025" cy="211455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2867025" cy="2114550"/>
                    </a:xfrm>
                    <a:prstGeom prst="rect">
                      <a:avLst/>
                    </a:prstGeom>
                    <a:noFill/>
                    <a:ln w="9525">
                      <a:noFill/>
                      <a:miter lim="800000"/>
                      <a:headEnd/>
                      <a:tailEnd/>
                    </a:ln>
                  </pic:spPr>
                </pic:pic>
              </a:graphicData>
            </a:graphic>
          </wp:inline>
        </w:drawing>
      </w:r>
      <w:r w:rsidR="00854460" w:rsidRPr="00854460">
        <w:t xml:space="preserve"> </w:t>
      </w:r>
      <w:r>
        <w:rPr>
          <w:noProof/>
          <w:lang w:val="en-ZA" w:eastAsia="en-ZA"/>
        </w:rPr>
        <w:drawing>
          <wp:inline distT="0" distB="0" distL="0" distR="0">
            <wp:extent cx="2867025" cy="2114550"/>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cstate="print"/>
                    <a:srcRect/>
                    <a:stretch>
                      <a:fillRect/>
                    </a:stretch>
                  </pic:blipFill>
                  <pic:spPr bwMode="auto">
                    <a:xfrm>
                      <a:off x="0" y="0"/>
                      <a:ext cx="2867025" cy="2114550"/>
                    </a:xfrm>
                    <a:prstGeom prst="rect">
                      <a:avLst/>
                    </a:prstGeom>
                    <a:noFill/>
                    <a:ln w="9525">
                      <a:noFill/>
                      <a:miter lim="800000"/>
                      <a:headEnd/>
                      <a:tailEnd/>
                    </a:ln>
                  </pic:spPr>
                </pic:pic>
              </a:graphicData>
            </a:graphic>
          </wp:inline>
        </w:drawing>
      </w:r>
    </w:p>
    <w:p w:rsidR="00E671CB" w:rsidRDefault="00E671CB" w:rsidP="00E671CB">
      <w:pPr>
        <w:pStyle w:val="BodyText"/>
      </w:pPr>
      <w:proofErr w:type="gramStart"/>
      <w:r w:rsidRPr="00E671CB">
        <w:rPr>
          <w:b/>
        </w:rPr>
        <w:t xml:space="preserve">Figure </w:t>
      </w:r>
      <w:r>
        <w:rPr>
          <w:b/>
        </w:rPr>
        <w:t>4</w:t>
      </w:r>
      <w:r w:rsidRPr="00E671CB">
        <w:rPr>
          <w:b/>
        </w:rPr>
        <w:t>.</w:t>
      </w:r>
      <w:proofErr w:type="gramEnd"/>
      <w:r>
        <w:t xml:space="preserve"> Acoustic survey estimates and model predicted November sardine 1+ biomass from 1984 to 2006.  The survey indices are shown with 95% confidence intervals.  The standardised residuals from the fit are given in the right hand plot.  </w:t>
      </w:r>
      <w:proofErr w:type="gramStart"/>
      <w:r>
        <w:t>Figure taken from Cunningham and Butterworth (2007).</w:t>
      </w:r>
      <w:proofErr w:type="gramEnd"/>
    </w:p>
    <w:p w:rsidR="00854460" w:rsidRDefault="00854460" w:rsidP="00E671CB">
      <w:pPr>
        <w:jc w:val="center"/>
      </w:pPr>
    </w:p>
    <w:p w:rsidR="00A53349" w:rsidRDefault="00A53349" w:rsidP="00E671CB">
      <w:pPr>
        <w:jc w:val="center"/>
      </w:pPr>
    </w:p>
    <w:p w:rsidR="00A53349" w:rsidRDefault="00A53349" w:rsidP="00E671CB">
      <w:pPr>
        <w:jc w:val="center"/>
      </w:pPr>
    </w:p>
    <w:p w:rsidR="00A53349" w:rsidRDefault="00A53349" w:rsidP="00E671CB">
      <w:pPr>
        <w:jc w:val="center"/>
      </w:pPr>
    </w:p>
    <w:p w:rsidR="00A53349" w:rsidRDefault="00A53349" w:rsidP="00E671CB">
      <w:pPr>
        <w:jc w:val="center"/>
      </w:pPr>
    </w:p>
    <w:p w:rsidR="00E671CB" w:rsidRPr="008164D0" w:rsidRDefault="00F93929" w:rsidP="00E671CB">
      <w:pPr>
        <w:jc w:val="center"/>
      </w:pPr>
      <w:r>
        <w:rPr>
          <w:noProof/>
          <w:lang w:val="en-ZA" w:eastAsia="en-ZA"/>
        </w:rPr>
        <w:lastRenderedPageBreak/>
        <w:drawing>
          <wp:inline distT="0" distB="0" distL="0" distR="0">
            <wp:extent cx="2867025" cy="2114550"/>
            <wp:effectExtent l="1905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cstate="print"/>
                    <a:srcRect/>
                    <a:stretch>
                      <a:fillRect/>
                    </a:stretch>
                  </pic:blipFill>
                  <pic:spPr bwMode="auto">
                    <a:xfrm>
                      <a:off x="0" y="0"/>
                      <a:ext cx="2867025" cy="2114550"/>
                    </a:xfrm>
                    <a:prstGeom prst="rect">
                      <a:avLst/>
                    </a:prstGeom>
                    <a:noFill/>
                    <a:ln w="9525">
                      <a:noFill/>
                      <a:miter lim="800000"/>
                      <a:headEnd/>
                      <a:tailEnd/>
                    </a:ln>
                  </pic:spPr>
                </pic:pic>
              </a:graphicData>
            </a:graphic>
          </wp:inline>
        </w:drawing>
      </w:r>
      <w:r w:rsidR="00854460" w:rsidRPr="00854460">
        <w:t xml:space="preserve"> </w:t>
      </w:r>
      <w:r>
        <w:rPr>
          <w:noProof/>
          <w:lang w:val="en-ZA" w:eastAsia="en-ZA"/>
        </w:rPr>
        <w:drawing>
          <wp:inline distT="0" distB="0" distL="0" distR="0">
            <wp:extent cx="2867025" cy="2124075"/>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cstate="print"/>
                    <a:srcRect/>
                    <a:stretch>
                      <a:fillRect/>
                    </a:stretch>
                  </pic:blipFill>
                  <pic:spPr bwMode="auto">
                    <a:xfrm>
                      <a:off x="0" y="0"/>
                      <a:ext cx="2867025" cy="2124075"/>
                    </a:xfrm>
                    <a:prstGeom prst="rect">
                      <a:avLst/>
                    </a:prstGeom>
                    <a:noFill/>
                    <a:ln w="9525">
                      <a:noFill/>
                      <a:miter lim="800000"/>
                      <a:headEnd/>
                      <a:tailEnd/>
                    </a:ln>
                  </pic:spPr>
                </pic:pic>
              </a:graphicData>
            </a:graphic>
          </wp:inline>
        </w:drawing>
      </w:r>
    </w:p>
    <w:p w:rsidR="00E671CB" w:rsidRDefault="00E671CB" w:rsidP="00E671CB">
      <w:pPr>
        <w:pStyle w:val="BodyText"/>
      </w:pPr>
      <w:proofErr w:type="gramStart"/>
      <w:r w:rsidRPr="00E671CB">
        <w:rPr>
          <w:b/>
        </w:rPr>
        <w:t>Figure 5.</w:t>
      </w:r>
      <w:proofErr w:type="gramEnd"/>
      <w:r>
        <w:t xml:space="preserve"> Acoustic survey estimates and model predicted sardine recruitment numbers from May 1985 to May 2006.  The survey indices are </w:t>
      </w:r>
      <w:r w:rsidRPr="008164D0">
        <w:t>s</w:t>
      </w:r>
      <w:r>
        <w:t xml:space="preserve">hown with 95% confidence intervals.  The standardised residuals from the fits are given in the right hand plots.  </w:t>
      </w:r>
      <w:proofErr w:type="gramStart"/>
      <w:r>
        <w:t>Figure taken from Cunningham and Butterworth (2007).</w:t>
      </w:r>
      <w:proofErr w:type="gramEnd"/>
    </w:p>
    <w:p w:rsidR="00E671CB" w:rsidRDefault="00E671CB" w:rsidP="00E671CB">
      <w:pPr>
        <w:pStyle w:val="BodyText"/>
      </w:pPr>
    </w:p>
    <w:p w:rsidR="00E671CB" w:rsidRDefault="00854460" w:rsidP="00E671CB">
      <w:pPr>
        <w:pStyle w:val="BodyText"/>
        <w:jc w:val="center"/>
      </w:pPr>
      <w:r w:rsidRPr="00854460">
        <w:t xml:space="preserve"> </w:t>
      </w:r>
      <w:r w:rsidR="00F93929">
        <w:rPr>
          <w:noProof/>
          <w:lang w:val="en-ZA" w:eastAsia="en-ZA"/>
        </w:rPr>
        <w:drawing>
          <wp:inline distT="0" distB="0" distL="0" distR="0">
            <wp:extent cx="2867025" cy="2114550"/>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 cstate="print"/>
                    <a:srcRect/>
                    <a:stretch>
                      <a:fillRect/>
                    </a:stretch>
                  </pic:blipFill>
                  <pic:spPr bwMode="auto">
                    <a:xfrm>
                      <a:off x="0" y="0"/>
                      <a:ext cx="2867025" cy="2114550"/>
                    </a:xfrm>
                    <a:prstGeom prst="rect">
                      <a:avLst/>
                    </a:prstGeom>
                    <a:noFill/>
                    <a:ln w="9525">
                      <a:noFill/>
                      <a:miter lim="800000"/>
                      <a:headEnd/>
                      <a:tailEnd/>
                    </a:ln>
                  </pic:spPr>
                </pic:pic>
              </a:graphicData>
            </a:graphic>
          </wp:inline>
        </w:drawing>
      </w:r>
    </w:p>
    <w:p w:rsidR="00E671CB" w:rsidRDefault="00E671CB" w:rsidP="00E671CB">
      <w:pPr>
        <w:pStyle w:val="BodyText"/>
      </w:pPr>
      <w:proofErr w:type="gramStart"/>
      <w:r w:rsidRPr="0013687C">
        <w:rPr>
          <w:b/>
        </w:rPr>
        <w:t xml:space="preserve">Figure </w:t>
      </w:r>
      <w:r>
        <w:rPr>
          <w:b/>
        </w:rPr>
        <w:t>6</w:t>
      </w:r>
      <w:r w:rsidRPr="0013687C">
        <w:rPr>
          <w:b/>
        </w:rPr>
        <w:t>.</w:t>
      </w:r>
      <w:proofErr w:type="gramEnd"/>
      <w:r>
        <w:t xml:space="preserve"> Model predicted sardine recruitment (in November) plotted against </w:t>
      </w:r>
      <w:proofErr w:type="spellStart"/>
      <w:r>
        <w:t>spawner</w:t>
      </w:r>
      <w:proofErr w:type="spellEnd"/>
      <w:r>
        <w:t xml:space="preserve"> biomass from November 1984 to November 2005, with the ‘hockey-stick’ stock-recruit curve and the constant recruitment between 2000 and 2004 also shown (</w:t>
      </w:r>
      <w:r w:rsidR="00901112">
        <w:t>straight line with crosses)</w:t>
      </w:r>
      <w:r>
        <w:t xml:space="preserve">.  The open circles denote the 2000 to 2004 November </w:t>
      </w:r>
      <w:proofErr w:type="spellStart"/>
      <w:r>
        <w:t>spawner</w:t>
      </w:r>
      <w:proofErr w:type="spellEnd"/>
      <w:r>
        <w:t xml:space="preserve"> biomass and recruitment.  </w:t>
      </w:r>
      <w:proofErr w:type="gramStart"/>
      <w:r w:rsidR="00901112">
        <w:t>Figure taken from Cunningham and Butterworth (2007).</w:t>
      </w:r>
      <w:proofErr w:type="gramEnd"/>
    </w:p>
    <w:p w:rsidR="0025118F" w:rsidRDefault="0025118F">
      <w:pPr>
        <w:rPr>
          <w:u w:val="single"/>
        </w:rPr>
      </w:pPr>
    </w:p>
    <w:p w:rsidR="0025118F" w:rsidRDefault="0025118F" w:rsidP="002974EB">
      <w:pPr>
        <w:pStyle w:val="Heading2"/>
      </w:pPr>
      <w:r>
        <w:t>References</w:t>
      </w:r>
    </w:p>
    <w:p w:rsidR="00E671CB" w:rsidRDefault="00E671CB" w:rsidP="00E671CB">
      <w:pPr>
        <w:pStyle w:val="BodyText2"/>
        <w:rPr>
          <w:b/>
        </w:rPr>
      </w:pPr>
      <w:proofErr w:type="gramStart"/>
      <w:r>
        <w:t>Cunningham CL and Butterworth DS 2007.</w:t>
      </w:r>
      <w:proofErr w:type="gramEnd"/>
      <w:r>
        <w:t xml:space="preserve"> </w:t>
      </w:r>
      <w:proofErr w:type="gramStart"/>
      <w:r>
        <w:t>Base Case Assessment of the South African Sardine Resource.</w:t>
      </w:r>
      <w:proofErr w:type="gramEnd"/>
      <w:r>
        <w:t xml:space="preserve"> </w:t>
      </w:r>
      <w:proofErr w:type="gramStart"/>
      <w:r>
        <w:t>MCM Document MCM/2007/SEP/SWG-PEL/06.</w:t>
      </w:r>
      <w:proofErr w:type="gramEnd"/>
      <w:r>
        <w:t xml:space="preserve"> 30pp</w:t>
      </w:r>
    </w:p>
    <w:p w:rsidR="002974EB" w:rsidRDefault="002974EB" w:rsidP="00E671CB">
      <w:pPr>
        <w:pStyle w:val="BodyText2"/>
      </w:pPr>
      <w:proofErr w:type="gramStart"/>
      <w:r>
        <w:t>de</w:t>
      </w:r>
      <w:proofErr w:type="gramEnd"/>
      <w:r>
        <w:t xml:space="preserve"> Moor CL and Butterworth DS 2010a. </w:t>
      </w:r>
      <w:proofErr w:type="gramStart"/>
      <w:r>
        <w:t>Assessment of the South African anchovy resource using data from 1984-2009.</w:t>
      </w:r>
      <w:proofErr w:type="gramEnd"/>
      <w:r>
        <w:t xml:space="preserve"> </w:t>
      </w:r>
      <w:proofErr w:type="gramStart"/>
      <w:r>
        <w:t>Marine and Coastal Management Document MCM/2010/SWG-PEL/38.</w:t>
      </w:r>
      <w:proofErr w:type="gramEnd"/>
      <w:r>
        <w:t xml:space="preserve"> 25pp.</w:t>
      </w:r>
    </w:p>
    <w:p w:rsidR="00E671CB" w:rsidRDefault="00E671CB" w:rsidP="00E671CB">
      <w:pPr>
        <w:pStyle w:val="BodyText2"/>
        <w:rPr>
          <w:b/>
          <w:szCs w:val="22"/>
        </w:rPr>
      </w:pPr>
      <w:proofErr w:type="gramStart"/>
      <w:r>
        <w:rPr>
          <w:szCs w:val="22"/>
        </w:rPr>
        <w:t>de</w:t>
      </w:r>
      <w:proofErr w:type="gramEnd"/>
      <w:r>
        <w:rPr>
          <w:szCs w:val="22"/>
        </w:rPr>
        <w:t xml:space="preserve"> Moor CL and Butterworth DS 2010</w:t>
      </w:r>
      <w:r w:rsidRPr="00E671CB">
        <w:rPr>
          <w:szCs w:val="22"/>
        </w:rPr>
        <w:t>b</w:t>
      </w:r>
      <w:r>
        <w:rPr>
          <w:szCs w:val="22"/>
        </w:rPr>
        <w:t xml:space="preserve">. Assessment of the South African anchovy resource using data from 1984-2009: attempts to resolve residual trends. </w:t>
      </w:r>
      <w:proofErr w:type="gramStart"/>
      <w:r>
        <w:rPr>
          <w:szCs w:val="22"/>
        </w:rPr>
        <w:t>MCM Document MCM/2010/SWG-PEL/43.</w:t>
      </w:r>
      <w:proofErr w:type="gramEnd"/>
      <w:r>
        <w:rPr>
          <w:szCs w:val="22"/>
        </w:rPr>
        <w:t xml:space="preserve"> 10pp</w:t>
      </w:r>
    </w:p>
    <w:p w:rsidR="00B7034A" w:rsidRDefault="00B7034A">
      <w:pPr>
        <w:rPr>
          <w:b/>
          <w:sz w:val="28"/>
          <w:szCs w:val="28"/>
        </w:rPr>
      </w:pPr>
      <w:r>
        <w:rPr>
          <w:b/>
          <w:sz w:val="28"/>
          <w:szCs w:val="28"/>
        </w:rPr>
        <w:br w:type="page"/>
      </w:r>
    </w:p>
    <w:p w:rsidR="0088671D" w:rsidRPr="005D37CE" w:rsidRDefault="0088671D" w:rsidP="000F77CC">
      <w:pPr>
        <w:pStyle w:val="Heading1"/>
        <w:jc w:val="center"/>
        <w:rPr>
          <w:b/>
          <w:sz w:val="28"/>
          <w:szCs w:val="28"/>
          <w:u w:val="none"/>
        </w:rPr>
      </w:pPr>
      <w:r w:rsidRPr="005D37CE">
        <w:rPr>
          <w:b/>
          <w:sz w:val="28"/>
          <w:szCs w:val="28"/>
          <w:u w:val="none"/>
        </w:rPr>
        <w:lastRenderedPageBreak/>
        <w:t>APPENDIX</w:t>
      </w:r>
      <w:r w:rsidR="005D37CE">
        <w:rPr>
          <w:b/>
          <w:sz w:val="28"/>
          <w:szCs w:val="28"/>
          <w:u w:val="none"/>
        </w:rPr>
        <w:t xml:space="preserve"> </w:t>
      </w:r>
      <w:r w:rsidR="00A72A26">
        <w:rPr>
          <w:b/>
          <w:sz w:val="28"/>
          <w:szCs w:val="28"/>
          <w:u w:val="none"/>
        </w:rPr>
        <w:t>C</w:t>
      </w:r>
      <w:r w:rsidRPr="005D37CE">
        <w:rPr>
          <w:b/>
          <w:sz w:val="28"/>
          <w:szCs w:val="28"/>
          <w:u w:val="none"/>
        </w:rPr>
        <w:t xml:space="preserve">: Document MCM/2010/SWG-PEL/42 presented to </w:t>
      </w:r>
      <w:r w:rsidR="005D37CE">
        <w:rPr>
          <w:b/>
          <w:sz w:val="28"/>
          <w:szCs w:val="28"/>
          <w:u w:val="none"/>
        </w:rPr>
        <w:t xml:space="preserve">the </w:t>
      </w:r>
      <w:r w:rsidRPr="005D37CE">
        <w:rPr>
          <w:b/>
          <w:sz w:val="28"/>
          <w:szCs w:val="28"/>
          <w:u w:val="none"/>
        </w:rPr>
        <w:t>PWG</w:t>
      </w:r>
    </w:p>
    <w:p w:rsidR="0088671D" w:rsidRPr="005D37CE" w:rsidRDefault="0088671D" w:rsidP="0088671D">
      <w:pPr>
        <w:rPr>
          <w:sz w:val="28"/>
          <w:szCs w:val="28"/>
        </w:rPr>
      </w:pPr>
    </w:p>
    <w:p w:rsidR="000F77CC" w:rsidRPr="005D37CE" w:rsidRDefault="000F77CC" w:rsidP="000F77CC">
      <w:pPr>
        <w:pStyle w:val="Heading1"/>
        <w:jc w:val="center"/>
        <w:rPr>
          <w:b/>
          <w:sz w:val="28"/>
          <w:szCs w:val="28"/>
          <w:u w:val="none"/>
        </w:rPr>
      </w:pPr>
      <w:r w:rsidRPr="005D37CE">
        <w:rPr>
          <w:b/>
          <w:sz w:val="28"/>
          <w:szCs w:val="28"/>
          <w:u w:val="none"/>
        </w:rPr>
        <w:t>Proposed rules to determine inputs to the OMP should there be no hydro-acoustic survey result in November 2010 or May 2011</w:t>
      </w:r>
    </w:p>
    <w:p w:rsidR="000F77CC" w:rsidRPr="004B3A17" w:rsidRDefault="000F77CC" w:rsidP="000F77CC">
      <w:pPr>
        <w:pStyle w:val="BodyText"/>
        <w:rPr>
          <w:lang w:val="en-ZA"/>
        </w:rPr>
      </w:pPr>
    </w:p>
    <w:p w:rsidR="000F77CC" w:rsidRPr="00575039" w:rsidRDefault="000F77CC" w:rsidP="000F77CC">
      <w:pPr>
        <w:pStyle w:val="BodyText"/>
        <w:jc w:val="center"/>
        <w:rPr>
          <w:b/>
        </w:rPr>
      </w:pPr>
      <w:proofErr w:type="gramStart"/>
      <w:r>
        <w:rPr>
          <w:b/>
        </w:rPr>
        <w:t>de</w:t>
      </w:r>
      <w:proofErr w:type="gramEnd"/>
      <w:r>
        <w:rPr>
          <w:b/>
        </w:rPr>
        <w:t xml:space="preserve"> Moor</w:t>
      </w:r>
      <w:r w:rsidRPr="00134C7E">
        <w:rPr>
          <w:b/>
        </w:rPr>
        <w:t>, C.L.</w:t>
      </w:r>
      <w:r w:rsidRPr="00575039">
        <w:rPr>
          <w:rStyle w:val="FootnoteReference"/>
          <w:b/>
        </w:rPr>
        <w:t xml:space="preserve"> </w:t>
      </w:r>
      <w:r w:rsidRPr="00575039">
        <w:rPr>
          <w:rStyle w:val="FootnoteReference"/>
          <w:b/>
        </w:rPr>
        <w:footnoteReference w:customMarkFollows="1" w:id="5"/>
        <w:sym w:font="Symbol" w:char="F02A"/>
      </w:r>
      <w:r>
        <w:rPr>
          <w:b/>
        </w:rPr>
        <w:t xml:space="preserve"> </w:t>
      </w:r>
      <w:proofErr w:type="gramStart"/>
      <w:r>
        <w:rPr>
          <w:b/>
        </w:rPr>
        <w:t>Butterworth, D.S.</w:t>
      </w:r>
      <w:r w:rsidR="0013687C" w:rsidRPr="0013687C">
        <w:rPr>
          <w:b/>
          <w:vertAlign w:val="superscript"/>
        </w:rPr>
        <w:t>*</w:t>
      </w:r>
      <w:r>
        <w:rPr>
          <w:b/>
        </w:rPr>
        <w:t xml:space="preserve"> and Coetzee J.C.</w:t>
      </w:r>
      <w:proofErr w:type="gramEnd"/>
      <w:r w:rsidR="0013687C" w:rsidRPr="0013687C">
        <w:rPr>
          <w:rStyle w:val="FootnoteReference"/>
          <w:b/>
        </w:rPr>
        <w:footnoteReference w:customMarkFollows="1" w:id="6"/>
        <w:sym w:font="Symbol" w:char="F026"/>
      </w:r>
    </w:p>
    <w:p w:rsidR="000F77CC" w:rsidRPr="008B7AEC" w:rsidRDefault="000F77CC" w:rsidP="000F77CC">
      <w:pPr>
        <w:pStyle w:val="BodyText"/>
        <w:jc w:val="center"/>
        <w:rPr>
          <w:i/>
          <w:iCs/>
        </w:rPr>
      </w:pPr>
      <w:r w:rsidRPr="008B7AEC">
        <w:rPr>
          <w:i/>
          <w:iCs/>
        </w:rPr>
        <w:t xml:space="preserve">Correspondence email: </w:t>
      </w:r>
      <w:hyperlink r:id="rId29" w:history="1">
        <w:r w:rsidRPr="008B7AEC">
          <w:rPr>
            <w:rStyle w:val="Hyperlink"/>
            <w:i/>
            <w:iCs/>
          </w:rPr>
          <w:t>carryn.demoor@uct.ac.za</w:t>
        </w:r>
      </w:hyperlink>
    </w:p>
    <w:p w:rsidR="000F77CC" w:rsidRDefault="000F77CC" w:rsidP="000F77CC">
      <w:pPr>
        <w:pStyle w:val="BodyText"/>
      </w:pPr>
    </w:p>
    <w:p w:rsidR="000F77CC" w:rsidRDefault="000F77CC" w:rsidP="000F77CC">
      <w:pPr>
        <w:pStyle w:val="Header"/>
        <w:jc w:val="both"/>
        <w:rPr>
          <w:rStyle w:val="BodyTextChar"/>
          <w:b w:val="0"/>
        </w:rPr>
      </w:pPr>
      <w:r>
        <w:rPr>
          <w:rStyle w:val="BodyTextChar"/>
          <w:b w:val="0"/>
        </w:rPr>
        <w:t xml:space="preserve">Estimates of sardine and anchovy resource abundance from hydro-acoustic surveys carried out in November and May each year form the key inputs into the </w:t>
      </w:r>
      <w:r w:rsidRPr="00D14588">
        <w:rPr>
          <w:rStyle w:val="BodyTextChar"/>
          <w:b w:val="0"/>
        </w:rPr>
        <w:t>OMP-08</w:t>
      </w:r>
      <w:r>
        <w:rPr>
          <w:rStyle w:val="BodyTextChar"/>
          <w:b w:val="0"/>
        </w:rPr>
        <w:t xml:space="preserve"> formulae (de Moor and Butterworth 2008).  OMP-08 is used to calculate the recommended annual directed sardine and anchovy TACs and sardine TAB.  The Pelagic Scientific Working Group has recognised the need to agree on a “back-up plan” to implement in the unfortunate event that either the survey does not take place, or the survey does not achieve sufficient coverage to allow for a reliable estimate to be computed (DEAT 2009).  Following discussions at the Pelagic Scientific Working Group on 11</w:t>
      </w:r>
      <w:r w:rsidRPr="00FD5ED9">
        <w:rPr>
          <w:rStyle w:val="BodyTextChar"/>
          <w:b w:val="0"/>
          <w:vertAlign w:val="superscript"/>
        </w:rPr>
        <w:t>th</w:t>
      </w:r>
      <w:r>
        <w:rPr>
          <w:rStyle w:val="BodyTextChar"/>
          <w:b w:val="0"/>
        </w:rPr>
        <w:t xml:space="preserve"> August 2010, the following rules are proposed for adoption by the Pelagic Scientific Working Group to be implemented in the event of no hydro-acoustic survey result being available for November 2010 or May 2011.</w:t>
      </w:r>
    </w:p>
    <w:p w:rsidR="000F77CC" w:rsidRDefault="000F77CC" w:rsidP="000F77CC">
      <w:pPr>
        <w:pStyle w:val="Header"/>
        <w:jc w:val="both"/>
        <w:rPr>
          <w:rStyle w:val="BodyTextChar"/>
          <w:b w:val="0"/>
        </w:rPr>
      </w:pPr>
    </w:p>
    <w:p w:rsidR="000F77CC" w:rsidRPr="002C3CEE" w:rsidRDefault="000F77CC" w:rsidP="000F77CC">
      <w:pPr>
        <w:pStyle w:val="Header"/>
        <w:jc w:val="both"/>
        <w:rPr>
          <w:rStyle w:val="BodyTextChar"/>
          <w:b w:val="0"/>
          <w:u w:val="single"/>
        </w:rPr>
      </w:pPr>
      <w:r w:rsidRPr="002C3CEE">
        <w:rPr>
          <w:rStyle w:val="BodyTextChar"/>
          <w:b w:val="0"/>
          <w:u w:val="single"/>
        </w:rPr>
        <w:t>November 2010</w:t>
      </w:r>
    </w:p>
    <w:p w:rsidR="000F77CC" w:rsidRPr="00D14588" w:rsidRDefault="000F77CC" w:rsidP="000F77CC">
      <w:pPr>
        <w:pStyle w:val="Header"/>
        <w:jc w:val="both"/>
        <w:rPr>
          <w:rStyle w:val="BodyTextChar"/>
          <w:b w:val="0"/>
        </w:rPr>
      </w:pPr>
      <w:r>
        <w:rPr>
          <w:rStyle w:val="BodyTextChar"/>
          <w:b w:val="0"/>
        </w:rPr>
        <w:t xml:space="preserve">In the event of no survey taking place, sufficient time would be available before the TAC recommendations are required to enable updates of the latest sardine and anchovy assessments (results at the posterior mode only).  Retrospective runs would be carried out for the past ±6-8 years to compare the difference between the model predicted November 1+ biomass (including estimated bias) and the survey observation in each final year.  The model predicted November 2010 1+ biomass (with estimated bias) will then be reduced by either the maximum difference between these historic model predictions and survey estimates, or one standard error of the projection estimate, whichever is greater.  This reduced estimate of 1+ biomass will be used to input into the OMP-08 formulae to calculate the directed sardine and initial anchovy TACs and initial sardine TAB for 2011. </w:t>
      </w:r>
    </w:p>
    <w:p w:rsidR="0013687C" w:rsidRDefault="000F77CC" w:rsidP="000F77CC">
      <w:pPr>
        <w:pStyle w:val="Header"/>
        <w:jc w:val="left"/>
        <w:rPr>
          <w:rStyle w:val="BodyTextChar"/>
          <w:b w:val="0"/>
        </w:rPr>
      </w:pPr>
      <w:r w:rsidRPr="005C1E68">
        <w:rPr>
          <w:rStyle w:val="BodyTextChar"/>
          <w:b w:val="0"/>
        </w:rPr>
        <w:t xml:space="preserve"> </w:t>
      </w:r>
    </w:p>
    <w:p w:rsidR="000F77CC" w:rsidRPr="002C3CEE" w:rsidRDefault="000F77CC" w:rsidP="000F77CC">
      <w:pPr>
        <w:pStyle w:val="Header"/>
        <w:jc w:val="left"/>
        <w:rPr>
          <w:rStyle w:val="BodyTextChar"/>
          <w:b w:val="0"/>
          <w:u w:val="single"/>
        </w:rPr>
      </w:pPr>
      <w:r w:rsidRPr="002C3CEE">
        <w:rPr>
          <w:rStyle w:val="BodyTextChar"/>
          <w:b w:val="0"/>
          <w:u w:val="single"/>
        </w:rPr>
        <w:t>May 2011</w:t>
      </w:r>
    </w:p>
    <w:p w:rsidR="000F77CC" w:rsidRDefault="000F77CC" w:rsidP="000F77CC">
      <w:pPr>
        <w:pStyle w:val="Header"/>
        <w:jc w:val="both"/>
        <w:rPr>
          <w:rStyle w:val="BodyTextChar"/>
          <w:b w:val="0"/>
        </w:rPr>
      </w:pPr>
      <w:r>
        <w:rPr>
          <w:rStyle w:val="BodyTextChar"/>
          <w:b w:val="0"/>
        </w:rPr>
        <w:t xml:space="preserve">The normal season anchovy TAC and sardine TAB will remain unchanged from that recommended at the start of the year.  By default there will be no additional season.  However, if there is a survey in November 2010, updates to the assessment models, along the lines of those mentioned above, will be </w:t>
      </w:r>
      <w:r>
        <w:rPr>
          <w:rStyle w:val="BodyTextChar"/>
          <w:b w:val="0"/>
        </w:rPr>
        <w:lastRenderedPageBreak/>
        <w:t xml:space="preserve">attempted.  Projections under OMP-08 with the allowance for some additional season TAC/B will be simulated.  [Note that preliminary projections under the assumption of half the maximum additional TAC is taken every year increased the risk to the sardine and anchovy resources substantially.] </w:t>
      </w:r>
    </w:p>
    <w:p w:rsidR="000F77CC" w:rsidRDefault="000F77CC" w:rsidP="000F77CC">
      <w:pPr>
        <w:pStyle w:val="Header"/>
        <w:jc w:val="left"/>
        <w:rPr>
          <w:rStyle w:val="BodyTextChar"/>
          <w:b w:val="0"/>
        </w:rPr>
      </w:pPr>
    </w:p>
    <w:p w:rsidR="000F77CC" w:rsidRPr="002C3CEE" w:rsidRDefault="000F77CC" w:rsidP="000F77CC">
      <w:pPr>
        <w:pStyle w:val="Header"/>
        <w:jc w:val="left"/>
        <w:rPr>
          <w:rStyle w:val="BodyTextChar"/>
          <w:b w:val="0"/>
          <w:u w:val="single"/>
        </w:rPr>
      </w:pPr>
      <w:r w:rsidRPr="002C3CEE">
        <w:rPr>
          <w:rStyle w:val="BodyTextChar"/>
          <w:b w:val="0"/>
          <w:u w:val="single"/>
        </w:rPr>
        <w:t>OMP-12</w:t>
      </w:r>
    </w:p>
    <w:p w:rsidR="000F77CC" w:rsidRDefault="000F77CC" w:rsidP="000F77CC">
      <w:pPr>
        <w:pStyle w:val="Header"/>
        <w:jc w:val="left"/>
        <w:rPr>
          <w:rStyle w:val="BodyTextChar"/>
          <w:b w:val="0"/>
        </w:rPr>
      </w:pPr>
      <w:r>
        <w:rPr>
          <w:rStyle w:val="BodyTextChar"/>
          <w:b w:val="0"/>
        </w:rPr>
        <w:t>Rules on how to determine the inputs to the OMP should there be no hydro-acoustic survey result will be incorporated into the development and testing of OMP-12.  The rule for no November survey result will likely be similar to that proposed for November 2010.  A separate rule will be developed for May surveys, likely also dependent on updated assessment model results with retrospective comparisons between model predicted and survey estimated May recruitment.  A ‘penalty’ will be needed for either of these cases in the event of two or more consecutive survey results not being available.  Further comments on possible rules to incorporate into OMP-12 are welcomed.</w:t>
      </w:r>
    </w:p>
    <w:p w:rsidR="000F77CC" w:rsidRPr="00673C2F" w:rsidRDefault="000F77CC" w:rsidP="000F77CC">
      <w:pPr>
        <w:pStyle w:val="BodyText"/>
        <w:rPr>
          <w:rFonts w:cs="Arial"/>
          <w:b/>
          <w:iCs/>
          <w:szCs w:val="28"/>
          <w:lang w:val="en-ZA" w:eastAsia="en-ZA"/>
        </w:rPr>
      </w:pPr>
    </w:p>
    <w:p w:rsidR="000F77CC" w:rsidRDefault="000F77CC" w:rsidP="000F77CC">
      <w:pPr>
        <w:pStyle w:val="Heading2"/>
      </w:pPr>
      <w:r>
        <w:t>References</w:t>
      </w:r>
    </w:p>
    <w:p w:rsidR="000F77CC" w:rsidRDefault="000F77CC" w:rsidP="000F77CC">
      <w:pPr>
        <w:pStyle w:val="BodyText"/>
        <w:ind w:left="576" w:hanging="576"/>
      </w:pPr>
      <w:proofErr w:type="gramStart"/>
      <w:r>
        <w:t>DEAT 2009.</w:t>
      </w:r>
      <w:proofErr w:type="gramEnd"/>
      <w:r>
        <w:t xml:space="preserve"> Research projects to support the sustainable management of small pelagic resources. </w:t>
      </w:r>
      <w:proofErr w:type="gramStart"/>
      <w:r>
        <w:t>Unpublished MCM Document MCM/2009/SWG-PEL/08.</w:t>
      </w:r>
      <w:proofErr w:type="gramEnd"/>
      <w:r>
        <w:t xml:space="preserve"> April 2009. 26pp.</w:t>
      </w:r>
    </w:p>
    <w:p w:rsidR="000F77CC" w:rsidRDefault="000F77CC" w:rsidP="000F77CC">
      <w:pPr>
        <w:pStyle w:val="BodyText"/>
        <w:ind w:left="576" w:hanging="576"/>
      </w:pPr>
      <w:proofErr w:type="gramStart"/>
      <w:r>
        <w:t>de</w:t>
      </w:r>
      <w:proofErr w:type="gramEnd"/>
      <w:r>
        <w:t xml:space="preserve"> Moor CL and Butterworth DS 2008. </w:t>
      </w:r>
      <w:proofErr w:type="gramStart"/>
      <w:r>
        <w:t>OMP-08.</w:t>
      </w:r>
      <w:proofErr w:type="gramEnd"/>
      <w:r>
        <w:t xml:space="preserve"> </w:t>
      </w:r>
      <w:proofErr w:type="gramStart"/>
      <w:r>
        <w:t>Unpublished MCM Document MCM/2008/SWG-PEL/23.</w:t>
      </w:r>
      <w:proofErr w:type="gramEnd"/>
      <w:r>
        <w:t xml:space="preserve"> 15pp</w:t>
      </w:r>
    </w:p>
    <w:p w:rsidR="000F77CC" w:rsidRDefault="000F77CC" w:rsidP="000F77CC">
      <w:pPr>
        <w:pStyle w:val="BodyText"/>
      </w:pPr>
    </w:p>
    <w:p w:rsidR="000F77CC" w:rsidRDefault="000F77CC" w:rsidP="000F77CC">
      <w:pPr>
        <w:pStyle w:val="BodyText"/>
      </w:pPr>
    </w:p>
    <w:p w:rsidR="00CF03D3" w:rsidRDefault="00CF03D3">
      <w:pPr>
        <w:rPr>
          <w:i/>
          <w:iCs/>
          <w:szCs w:val="20"/>
          <w:lang w:val="en-US"/>
        </w:rPr>
      </w:pPr>
      <w:r>
        <w:rPr>
          <w:i/>
          <w:iCs/>
          <w:lang w:val="en-US"/>
        </w:rPr>
        <w:br w:type="page"/>
      </w:r>
    </w:p>
    <w:p w:rsidR="00CF03D3" w:rsidRPr="005D37CE" w:rsidRDefault="00CF03D3" w:rsidP="00CF03D3">
      <w:pPr>
        <w:pStyle w:val="Heading1"/>
        <w:jc w:val="center"/>
        <w:rPr>
          <w:b/>
          <w:sz w:val="28"/>
          <w:szCs w:val="28"/>
          <w:u w:val="none"/>
        </w:rPr>
      </w:pPr>
      <w:r w:rsidRPr="005D37CE">
        <w:rPr>
          <w:b/>
          <w:sz w:val="28"/>
          <w:szCs w:val="28"/>
          <w:u w:val="none"/>
        </w:rPr>
        <w:lastRenderedPageBreak/>
        <w:t>APPENDIX</w:t>
      </w:r>
      <w:r>
        <w:rPr>
          <w:b/>
          <w:sz w:val="28"/>
          <w:szCs w:val="28"/>
          <w:u w:val="none"/>
        </w:rPr>
        <w:t xml:space="preserve"> D</w:t>
      </w:r>
      <w:r w:rsidRPr="005D37CE">
        <w:rPr>
          <w:b/>
          <w:sz w:val="28"/>
          <w:szCs w:val="28"/>
          <w:u w:val="none"/>
        </w:rPr>
        <w:t xml:space="preserve">: </w:t>
      </w:r>
      <w:r>
        <w:rPr>
          <w:b/>
          <w:sz w:val="28"/>
          <w:szCs w:val="28"/>
          <w:u w:val="none"/>
        </w:rPr>
        <w:t>Risk definitions and thresholds</w:t>
      </w:r>
    </w:p>
    <w:p w:rsidR="000F77CC" w:rsidRDefault="000F77CC" w:rsidP="00CF03D3">
      <w:pPr>
        <w:pStyle w:val="BodyText"/>
      </w:pPr>
    </w:p>
    <w:p w:rsidR="00CF03D3" w:rsidRDefault="00F645C7" w:rsidP="00CF03D3">
      <w:pPr>
        <w:pStyle w:val="BodyText"/>
      </w:pPr>
      <w:r>
        <w:t>With each new OMP we are faced with the need to consider redefinition of the risk criteria.  This is because the more or less the abundance of an unexploited resource fluctuates naturally, the more or less resilient it is to reduction to a specified level through exploitation, and hence the greater or lesser the acceptable probability that fishing reduce the resource to below that level (the basis we use for a risk criterion).</w:t>
      </w:r>
    </w:p>
    <w:p w:rsidR="00F645C7" w:rsidRDefault="00F645C7" w:rsidP="00CF03D3">
      <w:pPr>
        <w:pStyle w:val="BodyText"/>
      </w:pPr>
    </w:p>
    <w:p w:rsidR="00F645C7" w:rsidRDefault="00F645C7" w:rsidP="00CF03D3">
      <w:pPr>
        <w:pStyle w:val="BodyText"/>
      </w:pPr>
      <w:r>
        <w:t>Updated assessments often result in revised estimates of the extent of recruitment fluctuation and natural mortality, both of which impact the extent to which biomass fluctuates from year to year with or without fishing.</w:t>
      </w:r>
    </w:p>
    <w:p w:rsidR="00F645C7" w:rsidRDefault="00F645C7" w:rsidP="00CF03D3">
      <w:pPr>
        <w:pStyle w:val="BodyText"/>
      </w:pPr>
    </w:p>
    <w:p w:rsidR="00F645C7" w:rsidRDefault="00F645C7" w:rsidP="00F645C7">
      <w:pPr>
        <w:pStyle w:val="BodyText"/>
      </w:pPr>
      <w:r>
        <w:t>In an attempt to redefine the level of risk in an objective manner as possible, two criteri</w:t>
      </w:r>
      <w:r w:rsidR="00D73E63">
        <w:t>a</w:t>
      </w:r>
      <w:r>
        <w:t xml:space="preserve"> were used during the development of OMP-08.</w:t>
      </w:r>
      <w:r w:rsidR="00CA147B">
        <w:t xml:space="preserve">  The primary criterion was a multiplicative adjustment of the probability threshold defining risk level for a biomass threshold defined as for OMP-04, by comparing ratios of probabilities in the absence of fishing to the OMP-04 case (Tables D.</w:t>
      </w:r>
      <w:r w:rsidR="007761D7">
        <w:t>2</w:t>
      </w:r>
      <w:r w:rsidR="00CA147B">
        <w:t xml:space="preserve"> and D.</w:t>
      </w:r>
      <w:r w:rsidR="007761D7">
        <w:t>4</w:t>
      </w:r>
      <w:r w:rsidR="00CA147B">
        <w:t>).</w:t>
      </w:r>
      <w:r w:rsidR="007761D7">
        <w:t xml:space="preserve">  The secondary criterion was to compare the extent to which the biomass distribution is moved to the left under OMP-regulated fishing compared to the no-fishing situation (Figures D.2 and D.3).</w:t>
      </w:r>
      <w:r w:rsidR="000B0037">
        <w:t xml:space="preserve">  T</w:t>
      </w:r>
      <w:r>
        <w:t>he percentiles of the biomass distribution curve after 20 years future projection under OMP-08 compared t</w:t>
      </w:r>
      <w:r w:rsidR="000B0037">
        <w:t xml:space="preserve">o a no-catch scenario were </w:t>
      </w:r>
      <w:r>
        <w:t>compared to those under OMP-04</w:t>
      </w:r>
      <w:r w:rsidR="000B0037">
        <w:t xml:space="preserve"> (Tables D.5 and D.6)</w:t>
      </w:r>
      <w:r>
        <w:t>.</w:t>
      </w:r>
    </w:p>
    <w:p w:rsidR="000B0037" w:rsidRDefault="000B0037" w:rsidP="00F645C7">
      <w:pPr>
        <w:pStyle w:val="BodyText"/>
      </w:pPr>
    </w:p>
    <w:p w:rsidR="000B0037" w:rsidRDefault="000B0037" w:rsidP="00F645C7">
      <w:pPr>
        <w:pStyle w:val="BodyText"/>
        <w:rPr>
          <w:b/>
          <w:szCs w:val="22"/>
        </w:rPr>
      </w:pPr>
      <w:r>
        <w:t>These percentiles informed the threshold of 18% for sardine to maintain a biomass distribution under OMP-08 relative to that under a no-catch scenario after 20 years of simulation being very close to that under OMP-04 (though the lower 10% of the distribution is somewhat lower).  The threshold of 10% for anchovy was primarily informed by the former criterion.</w:t>
      </w:r>
    </w:p>
    <w:p w:rsidR="00F645C7" w:rsidRPr="00CF03D3" w:rsidRDefault="00F645C7" w:rsidP="00F44CB1">
      <w:pPr>
        <w:pStyle w:val="BodyText"/>
        <w:rPr>
          <w:b/>
        </w:rPr>
      </w:pPr>
    </w:p>
    <w:p w:rsidR="007761D7" w:rsidRPr="0001321B" w:rsidRDefault="007761D7" w:rsidP="007761D7">
      <w:pPr>
        <w:pStyle w:val="BodyText"/>
      </w:pPr>
      <w:r w:rsidRPr="007761D7">
        <w:rPr>
          <w:b/>
        </w:rPr>
        <w:t xml:space="preserve">Table </w:t>
      </w:r>
      <w:r>
        <w:rPr>
          <w:b/>
        </w:rPr>
        <w:t>D.</w:t>
      </w:r>
      <w:r w:rsidRPr="007761D7">
        <w:rPr>
          <w:b/>
        </w:rPr>
        <w:t>1.</w:t>
      </w:r>
      <w:r w:rsidRPr="0001321B">
        <w:t xml:space="preserve"> The probability that sardine biomass drops below </w:t>
      </w:r>
      <w:r w:rsidRPr="0001321B">
        <w:rPr>
          <w:position w:val="-10"/>
        </w:rPr>
        <w:object w:dxaOrig="360" w:dyaOrig="360">
          <v:shape id="_x0000_i1029" type="#_x0000_t75" style="width:18pt;height:18pt" o:ole="">
            <v:imagedata r:id="rId30" o:title=""/>
          </v:shape>
          <o:OLEObject Type="Embed" ProgID="Equation.3" ShapeID="_x0000_i1029" DrawAspect="Content" ObjectID="_1352015071" r:id="rId31"/>
        </w:object>
      </w:r>
      <w:r w:rsidRPr="0001321B">
        <w:t xml:space="preserve"> at least once during the projection period of 20 years, using the OMP-04 simulation framework with the associated 2004 assessment (this defines “Risk” for OMP-04). </w:t>
      </w:r>
      <w:r w:rsidRPr="0001321B">
        <w:rPr>
          <w:position w:val="-10"/>
        </w:rPr>
        <w:object w:dxaOrig="360" w:dyaOrig="360">
          <v:shape id="_x0000_i1030" type="#_x0000_t75" style="width:18pt;height:18pt" o:ole="">
            <v:imagedata r:id="rId30" o:title=""/>
          </v:shape>
          <o:OLEObject Type="Embed" ProgID="Equation.3" ShapeID="_x0000_i1030" DrawAspect="Content" ObjectID="_1352015072" r:id="rId32"/>
        </w:object>
      </w:r>
      <w:r w:rsidRPr="0001321B">
        <w:t xml:space="preserve"> </w:t>
      </w:r>
      <w:proofErr w:type="gramStart"/>
      <w:r w:rsidRPr="0001321B">
        <w:t>is</w:t>
      </w:r>
      <w:proofErr w:type="gramEnd"/>
      <w:r w:rsidRPr="0001321B">
        <w:t xml:space="preserve"> the average 1991 to 1994 sardine November biomass calculated using the 2004 sardine assessment.</w:t>
      </w:r>
    </w:p>
    <w:tbl>
      <w:tblPr>
        <w:tblStyle w:val="TableGrid"/>
        <w:tblW w:w="0" w:type="auto"/>
        <w:tblLook w:val="01E0"/>
      </w:tblPr>
      <w:tblGrid>
        <w:gridCol w:w="3348"/>
        <w:gridCol w:w="1260"/>
        <w:gridCol w:w="1260"/>
      </w:tblGrid>
      <w:tr w:rsidR="007761D7" w:rsidTr="00FB0B38">
        <w:tc>
          <w:tcPr>
            <w:tcW w:w="3348" w:type="dxa"/>
          </w:tcPr>
          <w:p w:rsidR="007761D7" w:rsidRDefault="007761D7" w:rsidP="00FB0B38"/>
        </w:tc>
        <w:tc>
          <w:tcPr>
            <w:tcW w:w="1260" w:type="dxa"/>
            <w:shd w:val="clear" w:color="auto" w:fill="auto"/>
          </w:tcPr>
          <w:p w:rsidR="007761D7" w:rsidRDefault="007761D7" w:rsidP="00FB0B38">
            <w:r w:rsidRPr="00980847">
              <w:rPr>
                <w:position w:val="-10"/>
              </w:rPr>
              <w:object w:dxaOrig="360" w:dyaOrig="360">
                <v:shape id="_x0000_i1031" type="#_x0000_t75" style="width:18pt;height:18pt" o:ole="">
                  <v:imagedata r:id="rId30" o:title=""/>
                </v:shape>
                <o:OLEObject Type="Embed" ProgID="Equation.3" ShapeID="_x0000_i1031" DrawAspect="Content" ObjectID="_1352015073" r:id="rId33"/>
              </w:object>
            </w:r>
          </w:p>
        </w:tc>
        <w:tc>
          <w:tcPr>
            <w:tcW w:w="1260" w:type="dxa"/>
            <w:shd w:val="clear" w:color="auto" w:fill="auto"/>
          </w:tcPr>
          <w:p w:rsidR="007761D7" w:rsidRDefault="007761D7" w:rsidP="00FB0B38">
            <w:r w:rsidRPr="00980847">
              <w:rPr>
                <w:position w:val="-10"/>
              </w:rPr>
              <w:object w:dxaOrig="920" w:dyaOrig="360">
                <v:shape id="_x0000_i1032" type="#_x0000_t75" style="width:45.75pt;height:18pt" o:ole="">
                  <v:imagedata r:id="rId34" o:title=""/>
                </v:shape>
                <o:OLEObject Type="Embed" ProgID="Equation.3" ShapeID="_x0000_i1032" DrawAspect="Content" ObjectID="_1352015074" r:id="rId35"/>
              </w:object>
            </w:r>
          </w:p>
        </w:tc>
      </w:tr>
      <w:tr w:rsidR="007761D7" w:rsidTr="00FB0B38">
        <w:tc>
          <w:tcPr>
            <w:tcW w:w="3348" w:type="dxa"/>
          </w:tcPr>
          <w:p w:rsidR="007761D7" w:rsidRDefault="007761D7" w:rsidP="00FB0B38">
            <w:r>
              <w:t>C=0</w:t>
            </w:r>
          </w:p>
        </w:tc>
        <w:tc>
          <w:tcPr>
            <w:tcW w:w="1260" w:type="dxa"/>
            <w:shd w:val="clear" w:color="auto" w:fill="auto"/>
          </w:tcPr>
          <w:p w:rsidR="007761D7" w:rsidRDefault="007761D7" w:rsidP="00FB0B38">
            <w:r>
              <w:t>0.01</w:t>
            </w:r>
          </w:p>
        </w:tc>
        <w:tc>
          <w:tcPr>
            <w:tcW w:w="1260" w:type="dxa"/>
            <w:shd w:val="clear" w:color="auto" w:fill="auto"/>
          </w:tcPr>
          <w:p w:rsidR="007761D7" w:rsidRDefault="007761D7" w:rsidP="00FB0B38">
            <w:r>
              <w:t>0.030</w:t>
            </w:r>
          </w:p>
        </w:tc>
      </w:tr>
      <w:tr w:rsidR="007761D7" w:rsidTr="00FB0B38">
        <w:tc>
          <w:tcPr>
            <w:tcW w:w="3348" w:type="dxa"/>
          </w:tcPr>
          <w:p w:rsidR="007761D7" w:rsidRDefault="007761D7" w:rsidP="00FB0B38">
            <w:r>
              <w:t>C=OMP-04</w:t>
            </w:r>
          </w:p>
        </w:tc>
        <w:tc>
          <w:tcPr>
            <w:tcW w:w="1260" w:type="dxa"/>
            <w:shd w:val="clear" w:color="auto" w:fill="auto"/>
          </w:tcPr>
          <w:p w:rsidR="007761D7" w:rsidRDefault="007761D7" w:rsidP="00FB0B38">
            <w:r>
              <w:t>0.098</w:t>
            </w:r>
          </w:p>
        </w:tc>
        <w:tc>
          <w:tcPr>
            <w:tcW w:w="1260" w:type="dxa"/>
            <w:shd w:val="clear" w:color="auto" w:fill="auto"/>
          </w:tcPr>
          <w:p w:rsidR="007761D7" w:rsidRDefault="007761D7" w:rsidP="00FB0B38">
            <w:r>
              <w:t>0.188</w:t>
            </w:r>
          </w:p>
        </w:tc>
      </w:tr>
    </w:tbl>
    <w:p w:rsidR="007761D7" w:rsidRDefault="007761D7" w:rsidP="000B0037">
      <w:pPr>
        <w:pStyle w:val="BodyText"/>
      </w:pPr>
    </w:p>
    <w:p w:rsidR="00A53349" w:rsidRDefault="00A53349" w:rsidP="007761D7">
      <w:pPr>
        <w:pStyle w:val="BodyText"/>
        <w:rPr>
          <w:b/>
        </w:rPr>
      </w:pPr>
    </w:p>
    <w:p w:rsidR="007761D7" w:rsidRPr="0001321B" w:rsidRDefault="007761D7" w:rsidP="007761D7">
      <w:pPr>
        <w:pStyle w:val="BodyText"/>
      </w:pPr>
      <w:r w:rsidRPr="007761D7">
        <w:rPr>
          <w:b/>
        </w:rPr>
        <w:lastRenderedPageBreak/>
        <w:t xml:space="preserve">Table </w:t>
      </w:r>
      <w:r w:rsidR="000B0037">
        <w:rPr>
          <w:b/>
        </w:rPr>
        <w:t>D.</w:t>
      </w:r>
      <w:r w:rsidRPr="007761D7">
        <w:rPr>
          <w:b/>
        </w:rPr>
        <w:t>2.</w:t>
      </w:r>
      <w:r w:rsidRPr="0001321B">
        <w:t xml:space="preserve"> The probability that sardine biomass drops below </w:t>
      </w:r>
      <w:r w:rsidRPr="0001321B">
        <w:rPr>
          <w:position w:val="-10"/>
        </w:rPr>
        <w:object w:dxaOrig="360" w:dyaOrig="360">
          <v:shape id="_x0000_i1033" type="#_x0000_t75" style="width:18pt;height:18pt" o:ole="">
            <v:imagedata r:id="rId36" o:title=""/>
          </v:shape>
          <o:OLEObject Type="Embed" ProgID="Equation.3" ShapeID="_x0000_i1033" DrawAspect="Content" ObjectID="_1352015075" r:id="rId37"/>
        </w:object>
      </w:r>
      <w:r w:rsidRPr="0001321B">
        <w:t xml:space="preserve"> at least once during the projection period of 20 years, using the OMP-08 simulation framework with the associated updated assessment. </w:t>
      </w:r>
      <w:r w:rsidRPr="0001321B">
        <w:rPr>
          <w:position w:val="-10"/>
        </w:rPr>
        <w:object w:dxaOrig="360" w:dyaOrig="360">
          <v:shape id="_x0000_i1034" type="#_x0000_t75" style="width:18pt;height:18pt" o:ole="">
            <v:imagedata r:id="rId38" o:title=""/>
          </v:shape>
          <o:OLEObject Type="Embed" ProgID="Equation.3" ShapeID="_x0000_i1034" DrawAspect="Content" ObjectID="_1352015076" r:id="rId39"/>
        </w:object>
      </w:r>
      <w:r w:rsidRPr="0001321B">
        <w:t xml:space="preserve"> </w:t>
      </w:r>
      <w:proofErr w:type="gramStart"/>
      <w:r w:rsidRPr="0001321B">
        <w:t>is</w:t>
      </w:r>
      <w:proofErr w:type="gramEnd"/>
      <w:r w:rsidRPr="0001321B">
        <w:t xml:space="preserve"> the average 1991 to 1994 sardine November biomass calculated using the 2007 sardine assessment.</w:t>
      </w:r>
    </w:p>
    <w:tbl>
      <w:tblPr>
        <w:tblStyle w:val="TableGrid"/>
        <w:tblW w:w="0" w:type="auto"/>
        <w:tblLayout w:type="fixed"/>
        <w:tblLook w:val="01E0"/>
      </w:tblPr>
      <w:tblGrid>
        <w:gridCol w:w="3348"/>
        <w:gridCol w:w="1260"/>
        <w:gridCol w:w="1260"/>
      </w:tblGrid>
      <w:tr w:rsidR="007761D7" w:rsidTr="00FB0B38">
        <w:tc>
          <w:tcPr>
            <w:tcW w:w="3348" w:type="dxa"/>
          </w:tcPr>
          <w:p w:rsidR="007761D7" w:rsidRDefault="007761D7" w:rsidP="00FB0B38"/>
        </w:tc>
        <w:tc>
          <w:tcPr>
            <w:tcW w:w="1260" w:type="dxa"/>
            <w:shd w:val="clear" w:color="auto" w:fill="auto"/>
          </w:tcPr>
          <w:p w:rsidR="007761D7" w:rsidRDefault="007761D7" w:rsidP="00FB0B38">
            <w:r w:rsidRPr="00980847">
              <w:rPr>
                <w:position w:val="-10"/>
              </w:rPr>
              <w:object w:dxaOrig="360" w:dyaOrig="360">
                <v:shape id="_x0000_i1035" type="#_x0000_t75" style="width:18pt;height:18pt" o:ole="">
                  <v:imagedata r:id="rId36" o:title=""/>
                </v:shape>
                <o:OLEObject Type="Embed" ProgID="Equation.3" ShapeID="_x0000_i1035" DrawAspect="Content" ObjectID="_1352015077" r:id="rId40"/>
              </w:object>
            </w:r>
          </w:p>
        </w:tc>
        <w:tc>
          <w:tcPr>
            <w:tcW w:w="1260" w:type="dxa"/>
            <w:shd w:val="clear" w:color="auto" w:fill="auto"/>
          </w:tcPr>
          <w:p w:rsidR="007761D7" w:rsidRDefault="007761D7" w:rsidP="00FB0B38">
            <w:r w:rsidRPr="00980847">
              <w:rPr>
                <w:position w:val="-10"/>
              </w:rPr>
              <w:object w:dxaOrig="920" w:dyaOrig="360">
                <v:shape id="_x0000_i1036" type="#_x0000_t75" style="width:45.75pt;height:18pt" o:ole="">
                  <v:imagedata r:id="rId41" o:title=""/>
                </v:shape>
                <o:OLEObject Type="Embed" ProgID="Equation.3" ShapeID="_x0000_i1036" DrawAspect="Content" ObjectID="_1352015078" r:id="rId42"/>
              </w:object>
            </w:r>
          </w:p>
        </w:tc>
      </w:tr>
      <w:tr w:rsidR="007761D7" w:rsidTr="00FB0B38">
        <w:tc>
          <w:tcPr>
            <w:tcW w:w="3348" w:type="dxa"/>
          </w:tcPr>
          <w:p w:rsidR="007761D7" w:rsidRDefault="007761D7" w:rsidP="00FB0B38">
            <w:r>
              <w:t>C=0</w:t>
            </w:r>
          </w:p>
        </w:tc>
        <w:tc>
          <w:tcPr>
            <w:tcW w:w="1260" w:type="dxa"/>
            <w:shd w:val="clear" w:color="auto" w:fill="auto"/>
          </w:tcPr>
          <w:p w:rsidR="007761D7" w:rsidRDefault="000B0037" w:rsidP="00FB0B38">
            <w:r>
              <w:t>0.028</w:t>
            </w:r>
          </w:p>
        </w:tc>
        <w:tc>
          <w:tcPr>
            <w:tcW w:w="1260" w:type="dxa"/>
            <w:shd w:val="clear" w:color="auto" w:fill="auto"/>
          </w:tcPr>
          <w:p w:rsidR="007761D7" w:rsidRDefault="000B0037" w:rsidP="00FB0B38">
            <w:r>
              <w:t>0.</w:t>
            </w:r>
            <w:r w:rsidR="007761D7">
              <w:t>0</w:t>
            </w:r>
            <w:r>
              <w:t>8</w:t>
            </w:r>
            <w:r w:rsidR="007761D7">
              <w:t>8</w:t>
            </w:r>
          </w:p>
        </w:tc>
      </w:tr>
      <w:tr w:rsidR="007761D7" w:rsidTr="00FB0B38">
        <w:tc>
          <w:tcPr>
            <w:tcW w:w="3348" w:type="dxa"/>
          </w:tcPr>
          <w:p w:rsidR="007761D7" w:rsidRDefault="007761D7" w:rsidP="00FB0B38">
            <w:r>
              <w:t>(C=OMP-04)</w:t>
            </w:r>
            <w:r w:rsidRPr="0072008A">
              <w:rPr>
                <w:vertAlign w:val="superscript"/>
              </w:rPr>
              <w:t>04</w:t>
            </w:r>
            <w:r>
              <w:t>/(C=0)</w:t>
            </w:r>
            <w:r w:rsidRPr="0072008A">
              <w:rPr>
                <w:vertAlign w:val="superscript"/>
              </w:rPr>
              <w:t>04</w:t>
            </w:r>
            <w:r>
              <w:t>x(C=0)</w:t>
            </w:r>
            <w:r w:rsidRPr="0072008A">
              <w:rPr>
                <w:vertAlign w:val="superscript"/>
              </w:rPr>
              <w:t>08</w:t>
            </w:r>
          </w:p>
        </w:tc>
        <w:tc>
          <w:tcPr>
            <w:tcW w:w="1260" w:type="dxa"/>
            <w:shd w:val="clear" w:color="auto" w:fill="auto"/>
            <w:vAlign w:val="bottom"/>
          </w:tcPr>
          <w:p w:rsidR="007761D7" w:rsidRPr="0080363C" w:rsidRDefault="000B0037" w:rsidP="00FB0B38">
            <w:pPr>
              <w:rPr>
                <w:b/>
                <w:bCs/>
                <w:szCs w:val="22"/>
              </w:rPr>
            </w:pPr>
            <w:r>
              <w:rPr>
                <w:b/>
                <w:bCs/>
                <w:szCs w:val="22"/>
              </w:rPr>
              <w:t>0.274</w:t>
            </w:r>
          </w:p>
        </w:tc>
        <w:tc>
          <w:tcPr>
            <w:tcW w:w="1260" w:type="dxa"/>
            <w:shd w:val="clear" w:color="auto" w:fill="auto"/>
            <w:vAlign w:val="bottom"/>
          </w:tcPr>
          <w:p w:rsidR="007761D7" w:rsidRPr="0080363C" w:rsidRDefault="000B0037" w:rsidP="000B0037">
            <w:pPr>
              <w:rPr>
                <w:szCs w:val="22"/>
              </w:rPr>
            </w:pPr>
            <w:r>
              <w:rPr>
                <w:szCs w:val="22"/>
              </w:rPr>
              <w:t>0.551</w:t>
            </w:r>
          </w:p>
        </w:tc>
      </w:tr>
      <w:tr w:rsidR="007761D7" w:rsidTr="00FB0B38">
        <w:tc>
          <w:tcPr>
            <w:tcW w:w="3348" w:type="dxa"/>
          </w:tcPr>
          <w:p w:rsidR="007761D7" w:rsidRDefault="007761D7" w:rsidP="00FB0B38">
            <w:r>
              <w:t>(C=OMP-04)</w:t>
            </w:r>
            <w:r w:rsidRPr="0072008A">
              <w:rPr>
                <w:vertAlign w:val="superscript"/>
              </w:rPr>
              <w:t>04</w:t>
            </w:r>
            <w:r>
              <w:t>-(C=0)</w:t>
            </w:r>
            <w:r w:rsidRPr="0072008A">
              <w:rPr>
                <w:vertAlign w:val="superscript"/>
              </w:rPr>
              <w:t>04</w:t>
            </w:r>
            <w:r>
              <w:t>+(C=0)</w:t>
            </w:r>
            <w:r w:rsidRPr="0072008A">
              <w:rPr>
                <w:vertAlign w:val="superscript"/>
              </w:rPr>
              <w:t>08</w:t>
            </w:r>
          </w:p>
        </w:tc>
        <w:tc>
          <w:tcPr>
            <w:tcW w:w="1260" w:type="dxa"/>
            <w:shd w:val="clear" w:color="auto" w:fill="auto"/>
            <w:vAlign w:val="bottom"/>
          </w:tcPr>
          <w:p w:rsidR="007761D7" w:rsidRPr="0080363C" w:rsidRDefault="000B0037" w:rsidP="00FB0B38">
            <w:pPr>
              <w:rPr>
                <w:szCs w:val="22"/>
              </w:rPr>
            </w:pPr>
            <w:r>
              <w:rPr>
                <w:szCs w:val="22"/>
              </w:rPr>
              <w:t>0.116</w:t>
            </w:r>
          </w:p>
        </w:tc>
        <w:tc>
          <w:tcPr>
            <w:tcW w:w="1260" w:type="dxa"/>
            <w:shd w:val="clear" w:color="auto" w:fill="auto"/>
            <w:vAlign w:val="bottom"/>
          </w:tcPr>
          <w:p w:rsidR="007761D7" w:rsidRPr="0080363C" w:rsidRDefault="000B0037" w:rsidP="00FB0B38">
            <w:pPr>
              <w:rPr>
                <w:szCs w:val="22"/>
              </w:rPr>
            </w:pPr>
            <w:r>
              <w:rPr>
                <w:szCs w:val="22"/>
              </w:rPr>
              <w:t>0.246</w:t>
            </w:r>
          </w:p>
        </w:tc>
      </w:tr>
    </w:tbl>
    <w:p w:rsidR="007761D7" w:rsidRDefault="007761D7" w:rsidP="007761D7"/>
    <w:p w:rsidR="007761D7" w:rsidRPr="0001321B" w:rsidRDefault="007761D7" w:rsidP="007761D7">
      <w:pPr>
        <w:pStyle w:val="BodyText"/>
      </w:pPr>
      <w:r w:rsidRPr="007761D7">
        <w:rPr>
          <w:b/>
        </w:rPr>
        <w:t xml:space="preserve">Table </w:t>
      </w:r>
      <w:r w:rsidR="000B0037">
        <w:rPr>
          <w:b/>
        </w:rPr>
        <w:t>D.</w:t>
      </w:r>
      <w:r w:rsidRPr="007761D7">
        <w:rPr>
          <w:b/>
        </w:rPr>
        <w:t>3.</w:t>
      </w:r>
      <w:r w:rsidRPr="0001321B">
        <w:t xml:space="preserve"> The probability that anchovy biomass drops below </w:t>
      </w:r>
      <w:r w:rsidRPr="0001321B">
        <w:rPr>
          <w:position w:val="-10"/>
        </w:rPr>
        <w:object w:dxaOrig="820" w:dyaOrig="360">
          <v:shape id="_x0000_i1037" type="#_x0000_t75" style="width:41.25pt;height:18pt" o:ole="">
            <v:imagedata r:id="rId43" o:title=""/>
          </v:shape>
          <o:OLEObject Type="Embed" ProgID="Equation.3" ShapeID="_x0000_i1037" DrawAspect="Content" ObjectID="_1352015079" r:id="rId44"/>
        </w:object>
      </w:r>
      <w:r w:rsidRPr="0001321B">
        <w:t xml:space="preserve"> at least once during the projection period of 20 years, using the OMP-04 simulation framework with the associated 2004 assessment (this defines “Risk” for anchovy for OMP-04). </w:t>
      </w:r>
      <w:r w:rsidRPr="0001321B">
        <w:rPr>
          <w:position w:val="-10"/>
        </w:rPr>
        <w:object w:dxaOrig="360" w:dyaOrig="360">
          <v:shape id="_x0000_i1038" type="#_x0000_t75" style="width:18pt;height:18pt" o:ole="">
            <v:imagedata r:id="rId30" o:title=""/>
          </v:shape>
          <o:OLEObject Type="Embed" ProgID="Equation.3" ShapeID="_x0000_i1038" DrawAspect="Content" ObjectID="_1352015080" r:id="rId45"/>
        </w:object>
      </w:r>
      <w:r w:rsidRPr="0001321B">
        <w:t xml:space="preserve"> </w:t>
      </w:r>
      <w:proofErr w:type="gramStart"/>
      <w:r w:rsidRPr="0001321B">
        <w:t>is</w:t>
      </w:r>
      <w:proofErr w:type="gramEnd"/>
      <w:r w:rsidRPr="0001321B">
        <w:t xml:space="preserve"> the average 1984 to 1999 anchovy November biomass calculated using the 2004 anchovy assessment.</w:t>
      </w:r>
    </w:p>
    <w:tbl>
      <w:tblPr>
        <w:tblStyle w:val="TableGrid"/>
        <w:tblW w:w="0" w:type="auto"/>
        <w:tblLook w:val="01E0"/>
      </w:tblPr>
      <w:tblGrid>
        <w:gridCol w:w="3348"/>
        <w:gridCol w:w="1260"/>
        <w:gridCol w:w="1260"/>
      </w:tblGrid>
      <w:tr w:rsidR="007761D7" w:rsidTr="00FB0B38">
        <w:tc>
          <w:tcPr>
            <w:tcW w:w="3348" w:type="dxa"/>
          </w:tcPr>
          <w:p w:rsidR="007761D7" w:rsidRDefault="007761D7" w:rsidP="00FB0B38"/>
        </w:tc>
        <w:tc>
          <w:tcPr>
            <w:tcW w:w="1260" w:type="dxa"/>
            <w:shd w:val="clear" w:color="auto" w:fill="auto"/>
          </w:tcPr>
          <w:p w:rsidR="007761D7" w:rsidRDefault="007761D7" w:rsidP="00FB0B38">
            <w:r w:rsidRPr="00980847">
              <w:rPr>
                <w:position w:val="-10"/>
              </w:rPr>
              <w:object w:dxaOrig="820" w:dyaOrig="360">
                <v:shape id="_x0000_i1039" type="#_x0000_t75" style="width:41.25pt;height:18pt" o:ole="">
                  <v:imagedata r:id="rId46" o:title=""/>
                </v:shape>
                <o:OLEObject Type="Embed" ProgID="Equation.3" ShapeID="_x0000_i1039" DrawAspect="Content" ObjectID="_1352015081" r:id="rId47"/>
              </w:object>
            </w:r>
          </w:p>
        </w:tc>
        <w:tc>
          <w:tcPr>
            <w:tcW w:w="1260" w:type="dxa"/>
            <w:shd w:val="clear" w:color="auto" w:fill="auto"/>
          </w:tcPr>
          <w:p w:rsidR="007761D7" w:rsidRDefault="007761D7" w:rsidP="00FB0B38">
            <w:r w:rsidRPr="00980847">
              <w:rPr>
                <w:position w:val="-10"/>
              </w:rPr>
              <w:object w:dxaOrig="940" w:dyaOrig="360">
                <v:shape id="_x0000_i1040" type="#_x0000_t75" style="width:47.25pt;height:18pt" o:ole="">
                  <v:imagedata r:id="rId48" o:title=""/>
                </v:shape>
                <o:OLEObject Type="Embed" ProgID="Equation.3" ShapeID="_x0000_i1040" DrawAspect="Content" ObjectID="_1352015082" r:id="rId49"/>
              </w:object>
            </w:r>
          </w:p>
        </w:tc>
      </w:tr>
      <w:tr w:rsidR="007761D7" w:rsidTr="00FB0B38">
        <w:tc>
          <w:tcPr>
            <w:tcW w:w="3348" w:type="dxa"/>
          </w:tcPr>
          <w:p w:rsidR="007761D7" w:rsidRDefault="007761D7" w:rsidP="00FB0B38">
            <w:r>
              <w:t>C=0</w:t>
            </w:r>
          </w:p>
        </w:tc>
        <w:tc>
          <w:tcPr>
            <w:tcW w:w="1260" w:type="dxa"/>
            <w:shd w:val="clear" w:color="auto" w:fill="auto"/>
            <w:vAlign w:val="bottom"/>
          </w:tcPr>
          <w:p w:rsidR="007761D7" w:rsidRPr="00C42D42" w:rsidRDefault="007761D7" w:rsidP="00FB0B38">
            <w:pPr>
              <w:jc w:val="right"/>
              <w:rPr>
                <w:szCs w:val="22"/>
                <w:lang w:val="en-ZA" w:eastAsia="en-ZA"/>
              </w:rPr>
            </w:pPr>
            <w:r w:rsidRPr="00C42D42">
              <w:rPr>
                <w:szCs w:val="22"/>
                <w:lang w:val="en-ZA" w:eastAsia="en-ZA"/>
              </w:rPr>
              <w:t>0.028</w:t>
            </w:r>
          </w:p>
        </w:tc>
        <w:tc>
          <w:tcPr>
            <w:tcW w:w="1260" w:type="dxa"/>
            <w:shd w:val="clear" w:color="auto" w:fill="auto"/>
            <w:vAlign w:val="bottom"/>
          </w:tcPr>
          <w:p w:rsidR="007761D7" w:rsidRPr="00C42D42" w:rsidRDefault="007761D7" w:rsidP="00FB0B38">
            <w:pPr>
              <w:jc w:val="right"/>
              <w:rPr>
                <w:szCs w:val="22"/>
                <w:lang w:val="en-ZA" w:eastAsia="en-ZA"/>
              </w:rPr>
            </w:pPr>
            <w:r w:rsidRPr="00C42D42">
              <w:rPr>
                <w:szCs w:val="22"/>
                <w:lang w:val="en-ZA" w:eastAsia="en-ZA"/>
              </w:rPr>
              <w:t>0.042</w:t>
            </w:r>
          </w:p>
        </w:tc>
      </w:tr>
      <w:tr w:rsidR="007761D7" w:rsidTr="00FB0B38">
        <w:tc>
          <w:tcPr>
            <w:tcW w:w="3348" w:type="dxa"/>
          </w:tcPr>
          <w:p w:rsidR="007761D7" w:rsidRDefault="007761D7" w:rsidP="00FB0B38">
            <w:r>
              <w:t>C=OMP-04</w:t>
            </w:r>
          </w:p>
        </w:tc>
        <w:tc>
          <w:tcPr>
            <w:tcW w:w="1260" w:type="dxa"/>
            <w:shd w:val="clear" w:color="auto" w:fill="auto"/>
            <w:vAlign w:val="bottom"/>
          </w:tcPr>
          <w:p w:rsidR="007761D7" w:rsidRPr="00C42D42" w:rsidRDefault="007761D7" w:rsidP="00FB0B38">
            <w:pPr>
              <w:jc w:val="right"/>
              <w:rPr>
                <w:szCs w:val="22"/>
                <w:lang w:val="en-ZA" w:eastAsia="en-ZA"/>
              </w:rPr>
            </w:pPr>
            <w:r w:rsidRPr="00C42D42">
              <w:rPr>
                <w:szCs w:val="22"/>
                <w:lang w:val="en-ZA" w:eastAsia="en-ZA"/>
              </w:rPr>
              <w:t>0.28</w:t>
            </w:r>
          </w:p>
        </w:tc>
        <w:tc>
          <w:tcPr>
            <w:tcW w:w="1260" w:type="dxa"/>
            <w:shd w:val="clear" w:color="auto" w:fill="auto"/>
            <w:vAlign w:val="bottom"/>
          </w:tcPr>
          <w:p w:rsidR="007761D7" w:rsidRPr="00C42D42" w:rsidRDefault="007761D7" w:rsidP="00FB0B38">
            <w:pPr>
              <w:jc w:val="right"/>
              <w:rPr>
                <w:szCs w:val="22"/>
                <w:lang w:val="en-ZA" w:eastAsia="en-ZA"/>
              </w:rPr>
            </w:pPr>
            <w:r w:rsidRPr="00C42D42">
              <w:rPr>
                <w:szCs w:val="22"/>
                <w:lang w:val="en-ZA" w:eastAsia="en-ZA"/>
              </w:rPr>
              <w:t>0.376</w:t>
            </w:r>
          </w:p>
        </w:tc>
      </w:tr>
    </w:tbl>
    <w:p w:rsidR="007761D7" w:rsidRDefault="007761D7" w:rsidP="007761D7"/>
    <w:p w:rsidR="007761D7" w:rsidRPr="0001321B" w:rsidRDefault="007761D7" w:rsidP="007761D7">
      <w:pPr>
        <w:pStyle w:val="BodyText"/>
      </w:pPr>
      <w:r w:rsidRPr="007761D7">
        <w:rPr>
          <w:b/>
        </w:rPr>
        <w:t xml:space="preserve">Table </w:t>
      </w:r>
      <w:r w:rsidR="000B0037">
        <w:rPr>
          <w:b/>
        </w:rPr>
        <w:t>D.</w:t>
      </w:r>
      <w:r w:rsidRPr="007761D7">
        <w:rPr>
          <w:b/>
        </w:rPr>
        <w:t>4.</w:t>
      </w:r>
      <w:r w:rsidRPr="0001321B">
        <w:t xml:space="preserve"> The probability that anchovy biomass drops below </w:t>
      </w:r>
      <w:r w:rsidRPr="0001321B">
        <w:rPr>
          <w:position w:val="-10"/>
        </w:rPr>
        <w:object w:dxaOrig="820" w:dyaOrig="360">
          <v:shape id="_x0000_i1041" type="#_x0000_t75" style="width:41.25pt;height:18pt" o:ole="">
            <v:imagedata r:id="rId50" o:title=""/>
          </v:shape>
          <o:OLEObject Type="Embed" ProgID="Equation.3" ShapeID="_x0000_i1041" DrawAspect="Content" ObjectID="_1352015083" r:id="rId51"/>
        </w:object>
      </w:r>
      <w:r w:rsidRPr="0001321B">
        <w:t xml:space="preserve"> at least once during the projection period of 20 years, using the OMP-08 simulation framework with the associated updated assessment. </w:t>
      </w:r>
      <w:r w:rsidRPr="0001321B">
        <w:rPr>
          <w:position w:val="-10"/>
        </w:rPr>
        <w:object w:dxaOrig="360" w:dyaOrig="360">
          <v:shape id="_x0000_i1042" type="#_x0000_t75" style="width:18pt;height:18pt" o:ole="">
            <v:imagedata r:id="rId38" o:title=""/>
          </v:shape>
          <o:OLEObject Type="Embed" ProgID="Equation.3" ShapeID="_x0000_i1042" DrawAspect="Content" ObjectID="_1352015084" r:id="rId52"/>
        </w:object>
      </w:r>
      <w:r w:rsidRPr="0001321B">
        <w:t xml:space="preserve"> </w:t>
      </w:r>
      <w:proofErr w:type="gramStart"/>
      <w:r w:rsidRPr="0001321B">
        <w:t>is</w:t>
      </w:r>
      <w:proofErr w:type="gramEnd"/>
      <w:r w:rsidRPr="0001321B">
        <w:t xml:space="preserve"> the average 1984 to 1999 anchovy November biomass calculated using the 2007 anchovy assessment.</w:t>
      </w:r>
    </w:p>
    <w:tbl>
      <w:tblPr>
        <w:tblStyle w:val="TableGrid"/>
        <w:tblW w:w="0" w:type="auto"/>
        <w:tblLayout w:type="fixed"/>
        <w:tblLook w:val="01E0"/>
      </w:tblPr>
      <w:tblGrid>
        <w:gridCol w:w="3348"/>
        <w:gridCol w:w="1260"/>
        <w:gridCol w:w="1260"/>
      </w:tblGrid>
      <w:tr w:rsidR="007761D7" w:rsidTr="00FB0B38">
        <w:tc>
          <w:tcPr>
            <w:tcW w:w="3348" w:type="dxa"/>
          </w:tcPr>
          <w:p w:rsidR="007761D7" w:rsidRDefault="007761D7" w:rsidP="00FB0B38"/>
        </w:tc>
        <w:tc>
          <w:tcPr>
            <w:tcW w:w="1260" w:type="dxa"/>
            <w:shd w:val="clear" w:color="auto" w:fill="auto"/>
          </w:tcPr>
          <w:p w:rsidR="007761D7" w:rsidRDefault="007761D7" w:rsidP="00FB0B38">
            <w:r w:rsidRPr="00980847">
              <w:rPr>
                <w:position w:val="-10"/>
              </w:rPr>
              <w:object w:dxaOrig="820" w:dyaOrig="360">
                <v:shape id="_x0000_i1043" type="#_x0000_t75" style="width:41.25pt;height:18pt" o:ole="">
                  <v:imagedata r:id="rId53" o:title=""/>
                </v:shape>
                <o:OLEObject Type="Embed" ProgID="Equation.3" ShapeID="_x0000_i1043" DrawAspect="Content" ObjectID="_1352015085" r:id="rId54"/>
              </w:object>
            </w:r>
          </w:p>
        </w:tc>
        <w:tc>
          <w:tcPr>
            <w:tcW w:w="1260" w:type="dxa"/>
            <w:shd w:val="clear" w:color="auto" w:fill="auto"/>
          </w:tcPr>
          <w:p w:rsidR="007761D7" w:rsidRDefault="007761D7" w:rsidP="00FB0B38">
            <w:r w:rsidRPr="00980847">
              <w:rPr>
                <w:position w:val="-10"/>
              </w:rPr>
              <w:object w:dxaOrig="940" w:dyaOrig="360">
                <v:shape id="_x0000_i1044" type="#_x0000_t75" style="width:47.25pt;height:18pt" o:ole="">
                  <v:imagedata r:id="rId55" o:title=""/>
                </v:shape>
                <o:OLEObject Type="Embed" ProgID="Equation.3" ShapeID="_x0000_i1044" DrawAspect="Content" ObjectID="_1352015086" r:id="rId56"/>
              </w:object>
            </w:r>
          </w:p>
        </w:tc>
      </w:tr>
      <w:tr w:rsidR="007761D7" w:rsidTr="00FB0B38">
        <w:tc>
          <w:tcPr>
            <w:tcW w:w="3348" w:type="dxa"/>
          </w:tcPr>
          <w:p w:rsidR="007761D7" w:rsidRDefault="007761D7" w:rsidP="00FB0B38">
            <w:r>
              <w:t>C=0</w:t>
            </w:r>
          </w:p>
        </w:tc>
        <w:tc>
          <w:tcPr>
            <w:tcW w:w="1260" w:type="dxa"/>
            <w:shd w:val="clear" w:color="auto" w:fill="auto"/>
            <w:vAlign w:val="bottom"/>
          </w:tcPr>
          <w:p w:rsidR="007761D7" w:rsidRPr="0080363C" w:rsidRDefault="007761D7" w:rsidP="000B0037">
            <w:pPr>
              <w:jc w:val="right"/>
              <w:rPr>
                <w:szCs w:val="22"/>
              </w:rPr>
            </w:pPr>
            <w:r w:rsidRPr="0080363C">
              <w:rPr>
                <w:szCs w:val="22"/>
              </w:rPr>
              <w:t>0.0</w:t>
            </w:r>
            <w:r w:rsidR="000B0037">
              <w:rPr>
                <w:szCs w:val="22"/>
              </w:rPr>
              <w:t>01</w:t>
            </w:r>
          </w:p>
        </w:tc>
        <w:tc>
          <w:tcPr>
            <w:tcW w:w="1260" w:type="dxa"/>
            <w:shd w:val="clear" w:color="auto" w:fill="auto"/>
            <w:vAlign w:val="bottom"/>
          </w:tcPr>
          <w:p w:rsidR="007761D7" w:rsidRPr="0080363C" w:rsidRDefault="007761D7" w:rsidP="000B0037">
            <w:pPr>
              <w:jc w:val="right"/>
              <w:rPr>
                <w:szCs w:val="22"/>
              </w:rPr>
            </w:pPr>
            <w:r w:rsidRPr="0080363C">
              <w:rPr>
                <w:szCs w:val="22"/>
              </w:rPr>
              <w:t>0.00</w:t>
            </w:r>
            <w:r w:rsidR="000B0037">
              <w:rPr>
                <w:szCs w:val="22"/>
              </w:rPr>
              <w:t>7</w:t>
            </w:r>
          </w:p>
        </w:tc>
      </w:tr>
      <w:tr w:rsidR="007761D7" w:rsidTr="00FB0B38">
        <w:tc>
          <w:tcPr>
            <w:tcW w:w="3348" w:type="dxa"/>
          </w:tcPr>
          <w:p w:rsidR="007761D7" w:rsidRDefault="007761D7" w:rsidP="00FB0B38">
            <w:r>
              <w:t>(C=OMP-04)</w:t>
            </w:r>
            <w:r w:rsidRPr="0072008A">
              <w:rPr>
                <w:vertAlign w:val="superscript"/>
              </w:rPr>
              <w:t>04</w:t>
            </w:r>
            <w:r>
              <w:t>/(C=0)</w:t>
            </w:r>
            <w:r w:rsidRPr="0072008A">
              <w:rPr>
                <w:vertAlign w:val="superscript"/>
              </w:rPr>
              <w:t>04</w:t>
            </w:r>
            <w:r>
              <w:t>x(C=0)</w:t>
            </w:r>
            <w:r w:rsidRPr="0072008A">
              <w:rPr>
                <w:vertAlign w:val="superscript"/>
              </w:rPr>
              <w:t>08</w:t>
            </w:r>
          </w:p>
        </w:tc>
        <w:tc>
          <w:tcPr>
            <w:tcW w:w="1260" w:type="dxa"/>
            <w:shd w:val="clear" w:color="auto" w:fill="auto"/>
            <w:vAlign w:val="bottom"/>
          </w:tcPr>
          <w:p w:rsidR="007761D7" w:rsidRPr="0080363C" w:rsidRDefault="000B0037" w:rsidP="00FB0B38">
            <w:pPr>
              <w:jc w:val="right"/>
              <w:rPr>
                <w:b/>
                <w:bCs/>
                <w:szCs w:val="22"/>
              </w:rPr>
            </w:pPr>
            <w:r>
              <w:rPr>
                <w:b/>
                <w:bCs/>
                <w:szCs w:val="22"/>
              </w:rPr>
              <w:t>0.010</w:t>
            </w:r>
          </w:p>
        </w:tc>
        <w:tc>
          <w:tcPr>
            <w:tcW w:w="1260" w:type="dxa"/>
            <w:shd w:val="clear" w:color="auto" w:fill="auto"/>
            <w:vAlign w:val="bottom"/>
          </w:tcPr>
          <w:p w:rsidR="007761D7" w:rsidRPr="0080363C" w:rsidRDefault="000B0037" w:rsidP="00FB0B38">
            <w:pPr>
              <w:jc w:val="right"/>
              <w:rPr>
                <w:szCs w:val="22"/>
              </w:rPr>
            </w:pPr>
            <w:r>
              <w:rPr>
                <w:szCs w:val="22"/>
              </w:rPr>
              <w:t>0.063</w:t>
            </w:r>
          </w:p>
        </w:tc>
      </w:tr>
      <w:tr w:rsidR="007761D7" w:rsidTr="00FB0B38">
        <w:tc>
          <w:tcPr>
            <w:tcW w:w="3348" w:type="dxa"/>
          </w:tcPr>
          <w:p w:rsidR="007761D7" w:rsidRDefault="007761D7" w:rsidP="00FB0B38">
            <w:r>
              <w:t>(C=OMP-04)</w:t>
            </w:r>
            <w:r w:rsidRPr="0072008A">
              <w:rPr>
                <w:vertAlign w:val="superscript"/>
              </w:rPr>
              <w:t>04</w:t>
            </w:r>
            <w:r>
              <w:t>-(C=0)</w:t>
            </w:r>
            <w:r w:rsidRPr="0072008A">
              <w:rPr>
                <w:vertAlign w:val="superscript"/>
              </w:rPr>
              <w:t>04</w:t>
            </w:r>
            <w:r>
              <w:t>+(C=0)</w:t>
            </w:r>
            <w:r w:rsidRPr="0072008A">
              <w:rPr>
                <w:vertAlign w:val="superscript"/>
              </w:rPr>
              <w:t>08</w:t>
            </w:r>
          </w:p>
        </w:tc>
        <w:tc>
          <w:tcPr>
            <w:tcW w:w="1260" w:type="dxa"/>
            <w:shd w:val="clear" w:color="auto" w:fill="auto"/>
            <w:vAlign w:val="bottom"/>
          </w:tcPr>
          <w:p w:rsidR="007761D7" w:rsidRPr="0080363C" w:rsidRDefault="000B0037" w:rsidP="00FB0B38">
            <w:pPr>
              <w:jc w:val="right"/>
              <w:rPr>
                <w:szCs w:val="22"/>
              </w:rPr>
            </w:pPr>
            <w:r>
              <w:rPr>
                <w:szCs w:val="22"/>
              </w:rPr>
              <w:t>0.253</w:t>
            </w:r>
          </w:p>
        </w:tc>
        <w:tc>
          <w:tcPr>
            <w:tcW w:w="1260" w:type="dxa"/>
            <w:shd w:val="clear" w:color="auto" w:fill="auto"/>
            <w:vAlign w:val="bottom"/>
          </w:tcPr>
          <w:p w:rsidR="007761D7" w:rsidRPr="0080363C" w:rsidRDefault="000B0037" w:rsidP="00FB0B38">
            <w:pPr>
              <w:jc w:val="right"/>
              <w:rPr>
                <w:szCs w:val="22"/>
              </w:rPr>
            </w:pPr>
            <w:r>
              <w:rPr>
                <w:szCs w:val="22"/>
              </w:rPr>
              <w:t>0.341</w:t>
            </w:r>
          </w:p>
        </w:tc>
      </w:tr>
    </w:tbl>
    <w:p w:rsidR="007761D7" w:rsidRDefault="007761D7" w:rsidP="00F44CB1">
      <w:pPr>
        <w:pStyle w:val="BodyText"/>
      </w:pPr>
    </w:p>
    <w:p w:rsidR="00F44CB1" w:rsidRDefault="00F44CB1" w:rsidP="00F44CB1">
      <w:pPr>
        <w:pStyle w:val="BodyText"/>
      </w:pPr>
      <w:r w:rsidRPr="00F44CB1">
        <w:rPr>
          <w:b/>
        </w:rPr>
        <w:t>Table D.5.</w:t>
      </w:r>
      <w:r>
        <w:t xml:space="preserve"> </w:t>
      </w:r>
      <w:proofErr w:type="gramStart"/>
      <w:r>
        <w:t xml:space="preserve">The ratio of the percentiles of the distribution of sardine biomass in 2027 under OMP-08 for </w:t>
      </w:r>
      <w:r w:rsidR="007169F5">
        <w:t>the chosen</w:t>
      </w:r>
      <w:r>
        <w:t xml:space="preserve"> sardine risk threshold (</w:t>
      </w:r>
      <w:r w:rsidRPr="0068139E">
        <w:rPr>
          <w:position w:val="-10"/>
        </w:rPr>
        <w:object w:dxaOrig="520" w:dyaOrig="320">
          <v:shape id="_x0000_i1045" type="#_x0000_t75" style="width:26.25pt;height:15.75pt" o:ole="" o:bullet="t">
            <v:imagedata r:id="rId14" o:title=""/>
          </v:shape>
          <o:OLEObject Type="Embed" ProgID="Equation.3" ShapeID="_x0000_i1045" DrawAspect="Content" ObjectID="_1352015087" r:id="rId57"/>
        </w:object>
      </w:r>
      <w:r>
        <w:t>&lt;0.18) to a no-catch scenario.</w:t>
      </w:r>
      <w:proofErr w:type="gramEnd"/>
      <w:r>
        <w:t xml:space="preserve">  The anchovy risk threshold is the same for both cases (</w:t>
      </w:r>
      <w:r w:rsidRPr="0068139E">
        <w:rPr>
          <w:position w:val="-10"/>
        </w:rPr>
        <w:object w:dxaOrig="520" w:dyaOrig="320">
          <v:shape id="_x0000_i1046" type="#_x0000_t75" style="width:26.25pt;height:15.75pt" o:ole="" o:bullet="t">
            <v:imagedata r:id="rId16" o:title=""/>
          </v:shape>
          <o:OLEObject Type="Embed" ProgID="Equation.3" ShapeID="_x0000_i1046" DrawAspect="Content" ObjectID="_1352015088" r:id="rId58"/>
        </w:object>
      </w:r>
      <w:r w:rsidR="007169F5">
        <w:t>&lt;0.10</w:t>
      </w:r>
      <w:r>
        <w:t>). A comparison is made to the ratio of the percentiles of the distribution of sardine biomass in 2023 under OMP-04 to a no-catch scenario using the previous assessment. Shaded cells represent cases for which the predicted ratio (depletion) is more pessimistic than that used for OMP-04.</w:t>
      </w:r>
    </w:p>
    <w:tbl>
      <w:tblPr>
        <w:tblStyle w:val="TableGrid"/>
        <w:tblW w:w="0" w:type="auto"/>
        <w:tblLook w:val="01E0"/>
      </w:tblPr>
      <w:tblGrid>
        <w:gridCol w:w="1008"/>
        <w:gridCol w:w="1958"/>
        <w:gridCol w:w="1901"/>
      </w:tblGrid>
      <w:tr w:rsidR="00F44CB1" w:rsidTr="009F2495">
        <w:tc>
          <w:tcPr>
            <w:tcW w:w="1008" w:type="dxa"/>
            <w:vMerge w:val="restart"/>
          </w:tcPr>
          <w:p w:rsidR="00F44CB1" w:rsidRPr="00F44CB1" w:rsidRDefault="00F44CB1" w:rsidP="00FB0B38">
            <w:pPr>
              <w:pStyle w:val="BodyText"/>
              <w:spacing w:line="240" w:lineRule="auto"/>
              <w:jc w:val="center"/>
              <w:rPr>
                <w:szCs w:val="22"/>
              </w:rPr>
            </w:pPr>
          </w:p>
        </w:tc>
        <w:tc>
          <w:tcPr>
            <w:tcW w:w="1958" w:type="dxa"/>
          </w:tcPr>
          <w:p w:rsidR="00F44CB1" w:rsidRPr="00F44CB1" w:rsidRDefault="00F44CB1" w:rsidP="00FB0B38">
            <w:pPr>
              <w:pStyle w:val="BodyText"/>
              <w:spacing w:line="240" w:lineRule="auto"/>
              <w:jc w:val="center"/>
              <w:rPr>
                <w:szCs w:val="22"/>
              </w:rPr>
            </w:pPr>
            <w:r w:rsidRPr="00F44CB1">
              <w:rPr>
                <w:szCs w:val="22"/>
              </w:rPr>
              <w:t>OMP-04/No-catch</w:t>
            </w:r>
          </w:p>
        </w:tc>
        <w:tc>
          <w:tcPr>
            <w:tcW w:w="1901" w:type="dxa"/>
          </w:tcPr>
          <w:p w:rsidR="00F44CB1" w:rsidRPr="00F44CB1" w:rsidRDefault="00F44CB1" w:rsidP="00F44CB1">
            <w:pPr>
              <w:pStyle w:val="BodyText"/>
              <w:spacing w:line="240" w:lineRule="auto"/>
              <w:jc w:val="center"/>
              <w:rPr>
                <w:szCs w:val="22"/>
              </w:rPr>
            </w:pPr>
            <w:r w:rsidRPr="00F44CB1">
              <w:rPr>
                <w:szCs w:val="22"/>
              </w:rPr>
              <w:t>OMP-08/No-catch</w:t>
            </w:r>
          </w:p>
        </w:tc>
      </w:tr>
      <w:tr w:rsidR="00F44CB1" w:rsidTr="00FB0B38">
        <w:tc>
          <w:tcPr>
            <w:tcW w:w="1008" w:type="dxa"/>
            <w:vMerge/>
          </w:tcPr>
          <w:p w:rsidR="00F44CB1" w:rsidRPr="00F44CB1" w:rsidRDefault="00F44CB1" w:rsidP="00FB0B38">
            <w:pPr>
              <w:pStyle w:val="BodyText"/>
              <w:spacing w:line="240" w:lineRule="auto"/>
              <w:jc w:val="center"/>
              <w:rPr>
                <w:szCs w:val="22"/>
              </w:rPr>
            </w:pPr>
          </w:p>
        </w:tc>
        <w:tc>
          <w:tcPr>
            <w:tcW w:w="1958" w:type="dxa"/>
          </w:tcPr>
          <w:p w:rsidR="00F44CB1" w:rsidRPr="00F44CB1" w:rsidRDefault="00F44CB1" w:rsidP="00FB0B38">
            <w:pPr>
              <w:pStyle w:val="BodyText"/>
              <w:spacing w:line="240" w:lineRule="auto"/>
              <w:jc w:val="center"/>
              <w:rPr>
                <w:szCs w:val="22"/>
              </w:rPr>
            </w:pPr>
          </w:p>
        </w:tc>
        <w:tc>
          <w:tcPr>
            <w:tcW w:w="1901" w:type="dxa"/>
          </w:tcPr>
          <w:p w:rsidR="00F44CB1" w:rsidRPr="00F44CB1" w:rsidRDefault="00F44CB1" w:rsidP="00FB0B38">
            <w:pPr>
              <w:pStyle w:val="BodyText"/>
              <w:spacing w:line="240" w:lineRule="auto"/>
              <w:jc w:val="center"/>
              <w:rPr>
                <w:szCs w:val="22"/>
              </w:rPr>
            </w:pPr>
            <w:r w:rsidRPr="00F44CB1">
              <w:rPr>
                <w:position w:val="-10"/>
                <w:szCs w:val="22"/>
              </w:rPr>
              <w:object w:dxaOrig="520" w:dyaOrig="320">
                <v:shape id="_x0000_i1047" type="#_x0000_t75" style="width:26.25pt;height:15.75pt" o:ole="" o:bullet="t">
                  <v:imagedata r:id="rId14" o:title=""/>
                </v:shape>
                <o:OLEObject Type="Embed" ProgID="Equation.3" ShapeID="_x0000_i1047" DrawAspect="Content" ObjectID="_1352015089" r:id="rId59"/>
              </w:object>
            </w:r>
            <w:r w:rsidR="0068139E">
              <w:rPr>
                <w:szCs w:val="22"/>
              </w:rPr>
              <w:t>&lt;0.18</w:t>
            </w:r>
          </w:p>
        </w:tc>
      </w:tr>
      <w:tr w:rsidR="00F44CB1" w:rsidTr="00FB0B38">
        <w:tc>
          <w:tcPr>
            <w:tcW w:w="1008" w:type="dxa"/>
          </w:tcPr>
          <w:p w:rsidR="00F44CB1" w:rsidRPr="00F44CB1" w:rsidRDefault="00F44CB1" w:rsidP="00FB0B38">
            <w:pPr>
              <w:pStyle w:val="BodyText"/>
              <w:spacing w:line="240" w:lineRule="auto"/>
              <w:rPr>
                <w:szCs w:val="22"/>
              </w:rPr>
            </w:pPr>
            <w:r w:rsidRPr="00F44CB1">
              <w:rPr>
                <w:szCs w:val="22"/>
              </w:rPr>
              <w:t>10%ile</w:t>
            </w:r>
          </w:p>
        </w:tc>
        <w:tc>
          <w:tcPr>
            <w:tcW w:w="1958" w:type="dxa"/>
            <w:vAlign w:val="bottom"/>
          </w:tcPr>
          <w:p w:rsidR="00F44CB1" w:rsidRPr="00F44CB1" w:rsidRDefault="00F6148A" w:rsidP="00FB0B38">
            <w:pPr>
              <w:jc w:val="right"/>
              <w:rPr>
                <w:szCs w:val="22"/>
              </w:rPr>
            </w:pPr>
            <w:r w:rsidRPr="00F6148A">
              <w:rPr>
                <w:szCs w:val="22"/>
              </w:rPr>
              <w:t>0.59</w:t>
            </w:r>
          </w:p>
        </w:tc>
        <w:tc>
          <w:tcPr>
            <w:tcW w:w="1901" w:type="dxa"/>
            <w:shd w:val="clear" w:color="auto" w:fill="CCCCCC"/>
            <w:vAlign w:val="bottom"/>
          </w:tcPr>
          <w:p w:rsidR="00F44CB1" w:rsidRPr="00F44CB1" w:rsidRDefault="00F44CB1" w:rsidP="00FB0B38">
            <w:pPr>
              <w:jc w:val="right"/>
              <w:rPr>
                <w:bCs/>
                <w:szCs w:val="22"/>
              </w:rPr>
            </w:pPr>
            <w:r w:rsidRPr="007169F5">
              <w:rPr>
                <w:szCs w:val="22"/>
                <w:highlight w:val="lightGray"/>
              </w:rPr>
              <w:t>0.49</w:t>
            </w:r>
          </w:p>
        </w:tc>
      </w:tr>
      <w:tr w:rsidR="00F44CB1" w:rsidTr="00FB0B38">
        <w:tc>
          <w:tcPr>
            <w:tcW w:w="1008" w:type="dxa"/>
          </w:tcPr>
          <w:p w:rsidR="00F44CB1" w:rsidRPr="00F44CB1" w:rsidRDefault="00F44CB1" w:rsidP="00FB0B38">
            <w:pPr>
              <w:pStyle w:val="BodyText"/>
              <w:spacing w:line="240" w:lineRule="auto"/>
              <w:rPr>
                <w:szCs w:val="22"/>
              </w:rPr>
            </w:pPr>
            <w:r w:rsidRPr="00F44CB1">
              <w:rPr>
                <w:szCs w:val="22"/>
              </w:rPr>
              <w:t>20%ile</w:t>
            </w:r>
          </w:p>
        </w:tc>
        <w:tc>
          <w:tcPr>
            <w:tcW w:w="1958" w:type="dxa"/>
            <w:vAlign w:val="bottom"/>
          </w:tcPr>
          <w:p w:rsidR="00F44CB1" w:rsidRPr="00F44CB1" w:rsidRDefault="00F44CB1" w:rsidP="00FB0B38">
            <w:pPr>
              <w:jc w:val="right"/>
              <w:rPr>
                <w:szCs w:val="22"/>
              </w:rPr>
            </w:pPr>
            <w:r w:rsidRPr="00F44CB1">
              <w:rPr>
                <w:szCs w:val="22"/>
              </w:rPr>
              <w:t>0.68</w:t>
            </w:r>
          </w:p>
        </w:tc>
        <w:tc>
          <w:tcPr>
            <w:tcW w:w="1901" w:type="dxa"/>
            <w:vAlign w:val="bottom"/>
          </w:tcPr>
          <w:p w:rsidR="00F44CB1" w:rsidRPr="00F44CB1" w:rsidRDefault="00F44CB1" w:rsidP="00FB0B38">
            <w:pPr>
              <w:jc w:val="right"/>
              <w:rPr>
                <w:bCs/>
                <w:szCs w:val="22"/>
              </w:rPr>
            </w:pPr>
            <w:r w:rsidRPr="00F44CB1">
              <w:rPr>
                <w:szCs w:val="22"/>
              </w:rPr>
              <w:t>0.68</w:t>
            </w:r>
          </w:p>
        </w:tc>
      </w:tr>
      <w:tr w:rsidR="00F44CB1" w:rsidTr="00FB0B38">
        <w:tc>
          <w:tcPr>
            <w:tcW w:w="1008" w:type="dxa"/>
          </w:tcPr>
          <w:p w:rsidR="00F44CB1" w:rsidRPr="00F44CB1" w:rsidRDefault="00F44CB1" w:rsidP="00FB0B38">
            <w:pPr>
              <w:pStyle w:val="BodyText"/>
              <w:spacing w:line="240" w:lineRule="auto"/>
              <w:rPr>
                <w:szCs w:val="22"/>
              </w:rPr>
            </w:pPr>
            <w:r w:rsidRPr="00F44CB1">
              <w:rPr>
                <w:szCs w:val="22"/>
              </w:rPr>
              <w:t>30%ile</w:t>
            </w:r>
          </w:p>
        </w:tc>
        <w:tc>
          <w:tcPr>
            <w:tcW w:w="1958" w:type="dxa"/>
            <w:vAlign w:val="bottom"/>
          </w:tcPr>
          <w:p w:rsidR="00F44CB1" w:rsidRPr="00F44CB1" w:rsidRDefault="00F44CB1" w:rsidP="00FB0B38">
            <w:pPr>
              <w:jc w:val="right"/>
              <w:rPr>
                <w:szCs w:val="22"/>
              </w:rPr>
            </w:pPr>
            <w:r w:rsidRPr="00F44CB1">
              <w:rPr>
                <w:szCs w:val="22"/>
              </w:rPr>
              <w:t>0.69</w:t>
            </w:r>
          </w:p>
        </w:tc>
        <w:tc>
          <w:tcPr>
            <w:tcW w:w="1901" w:type="dxa"/>
            <w:vAlign w:val="bottom"/>
          </w:tcPr>
          <w:p w:rsidR="00F44CB1" w:rsidRPr="00F44CB1" w:rsidRDefault="00F44CB1" w:rsidP="00FB0B38">
            <w:pPr>
              <w:jc w:val="right"/>
              <w:rPr>
                <w:bCs/>
                <w:szCs w:val="22"/>
              </w:rPr>
            </w:pPr>
            <w:r w:rsidRPr="00F44CB1">
              <w:rPr>
                <w:szCs w:val="22"/>
              </w:rPr>
              <w:t>0.72</w:t>
            </w:r>
          </w:p>
        </w:tc>
      </w:tr>
      <w:tr w:rsidR="00F44CB1" w:rsidTr="00FB0B38">
        <w:tc>
          <w:tcPr>
            <w:tcW w:w="1008" w:type="dxa"/>
          </w:tcPr>
          <w:p w:rsidR="00F44CB1" w:rsidRPr="00F44CB1" w:rsidRDefault="00F44CB1" w:rsidP="00FB0B38">
            <w:pPr>
              <w:pStyle w:val="BodyText"/>
              <w:spacing w:line="240" w:lineRule="auto"/>
              <w:rPr>
                <w:szCs w:val="22"/>
              </w:rPr>
            </w:pPr>
            <w:r w:rsidRPr="00F44CB1">
              <w:rPr>
                <w:szCs w:val="22"/>
              </w:rPr>
              <w:t>40%ile</w:t>
            </w:r>
          </w:p>
        </w:tc>
        <w:tc>
          <w:tcPr>
            <w:tcW w:w="1958" w:type="dxa"/>
            <w:vAlign w:val="bottom"/>
          </w:tcPr>
          <w:p w:rsidR="00F44CB1" w:rsidRPr="00F44CB1" w:rsidRDefault="00F44CB1" w:rsidP="00FB0B38">
            <w:pPr>
              <w:jc w:val="right"/>
              <w:rPr>
                <w:szCs w:val="22"/>
              </w:rPr>
            </w:pPr>
            <w:r w:rsidRPr="00F44CB1">
              <w:rPr>
                <w:szCs w:val="22"/>
              </w:rPr>
              <w:t>0.71</w:t>
            </w:r>
          </w:p>
        </w:tc>
        <w:tc>
          <w:tcPr>
            <w:tcW w:w="1901" w:type="dxa"/>
            <w:vAlign w:val="bottom"/>
          </w:tcPr>
          <w:p w:rsidR="00F44CB1" w:rsidRPr="00F44CB1" w:rsidRDefault="00F44CB1" w:rsidP="00FB0B38">
            <w:pPr>
              <w:jc w:val="right"/>
              <w:rPr>
                <w:bCs/>
                <w:szCs w:val="22"/>
              </w:rPr>
            </w:pPr>
            <w:r w:rsidRPr="00F44CB1">
              <w:rPr>
                <w:szCs w:val="22"/>
              </w:rPr>
              <w:t>0.73</w:t>
            </w:r>
          </w:p>
        </w:tc>
      </w:tr>
      <w:tr w:rsidR="00F44CB1" w:rsidTr="00FB0B38">
        <w:tc>
          <w:tcPr>
            <w:tcW w:w="1008" w:type="dxa"/>
          </w:tcPr>
          <w:p w:rsidR="00F44CB1" w:rsidRPr="00F44CB1" w:rsidRDefault="00F44CB1" w:rsidP="00FB0B38">
            <w:pPr>
              <w:pStyle w:val="BodyText"/>
              <w:spacing w:line="240" w:lineRule="auto"/>
              <w:rPr>
                <w:szCs w:val="22"/>
              </w:rPr>
            </w:pPr>
            <w:r w:rsidRPr="00F44CB1">
              <w:rPr>
                <w:szCs w:val="22"/>
              </w:rPr>
              <w:t>Median</w:t>
            </w:r>
          </w:p>
        </w:tc>
        <w:tc>
          <w:tcPr>
            <w:tcW w:w="1958" w:type="dxa"/>
            <w:vAlign w:val="bottom"/>
          </w:tcPr>
          <w:p w:rsidR="00F44CB1" w:rsidRPr="00F44CB1" w:rsidRDefault="00F44CB1" w:rsidP="00FB0B38">
            <w:pPr>
              <w:jc w:val="right"/>
              <w:rPr>
                <w:szCs w:val="22"/>
              </w:rPr>
            </w:pPr>
            <w:r w:rsidRPr="00F44CB1">
              <w:rPr>
                <w:szCs w:val="22"/>
              </w:rPr>
              <w:t>0.72</w:t>
            </w:r>
          </w:p>
        </w:tc>
        <w:tc>
          <w:tcPr>
            <w:tcW w:w="1901" w:type="dxa"/>
            <w:vAlign w:val="bottom"/>
          </w:tcPr>
          <w:p w:rsidR="00F44CB1" w:rsidRPr="00F44CB1" w:rsidRDefault="00F44CB1" w:rsidP="00FB0B38">
            <w:pPr>
              <w:jc w:val="right"/>
              <w:rPr>
                <w:bCs/>
                <w:szCs w:val="22"/>
              </w:rPr>
            </w:pPr>
            <w:r w:rsidRPr="00F44CB1">
              <w:rPr>
                <w:szCs w:val="22"/>
              </w:rPr>
              <w:t>0.72</w:t>
            </w:r>
          </w:p>
        </w:tc>
      </w:tr>
    </w:tbl>
    <w:p w:rsidR="00F44CB1" w:rsidRDefault="00F44CB1" w:rsidP="00F44CB1">
      <w:pPr>
        <w:pStyle w:val="BodyText"/>
      </w:pPr>
    </w:p>
    <w:p w:rsidR="00A53349" w:rsidRDefault="00A53349" w:rsidP="00F44CB1">
      <w:pPr>
        <w:pStyle w:val="BodyText"/>
        <w:rPr>
          <w:b/>
        </w:rPr>
      </w:pPr>
    </w:p>
    <w:p w:rsidR="00F44CB1" w:rsidRDefault="00F44CB1" w:rsidP="00F44CB1">
      <w:pPr>
        <w:pStyle w:val="BodyText"/>
      </w:pPr>
      <w:r w:rsidRPr="00F44CB1">
        <w:rPr>
          <w:b/>
        </w:rPr>
        <w:lastRenderedPageBreak/>
        <w:t>Table D.6.</w:t>
      </w:r>
      <w:r>
        <w:t xml:space="preserve"> </w:t>
      </w:r>
      <w:proofErr w:type="gramStart"/>
      <w:r>
        <w:t xml:space="preserve">The ratio of the percentiles of the distribution of anchovy biomass in 2027 under OMP-08 for </w:t>
      </w:r>
      <w:r w:rsidR="007169F5">
        <w:t>the chosen</w:t>
      </w:r>
      <w:r>
        <w:t xml:space="preserve"> anchovy risk threshold (</w:t>
      </w:r>
      <w:r w:rsidRPr="0068139E">
        <w:rPr>
          <w:position w:val="-10"/>
        </w:rPr>
        <w:object w:dxaOrig="520" w:dyaOrig="320">
          <v:shape id="_x0000_i1048" type="#_x0000_t75" style="width:26.25pt;height:15.75pt" o:ole="" o:bullet="t">
            <v:imagedata r:id="rId16" o:title=""/>
          </v:shape>
          <o:OLEObject Type="Embed" ProgID="Equation.3" ShapeID="_x0000_i1048" DrawAspect="Content" ObjectID="_1352015090" r:id="rId60"/>
        </w:object>
      </w:r>
      <w:r w:rsidR="007169F5">
        <w:t>&lt;0.10</w:t>
      </w:r>
      <w:r>
        <w:t>) to a no-catch scenario.</w:t>
      </w:r>
      <w:proofErr w:type="gramEnd"/>
      <w:r>
        <w:t xml:space="preserve">  The sardine risk threshold is the same for all cases (</w:t>
      </w:r>
      <w:r w:rsidRPr="0068139E">
        <w:rPr>
          <w:position w:val="-10"/>
        </w:rPr>
        <w:object w:dxaOrig="520" w:dyaOrig="320">
          <v:shape id="_x0000_i1049" type="#_x0000_t75" style="width:26.25pt;height:15.75pt" o:ole="" o:bullet="t">
            <v:imagedata r:id="rId14" o:title=""/>
          </v:shape>
          <o:OLEObject Type="Embed" ProgID="Equation.3" ShapeID="_x0000_i1049" DrawAspect="Content" ObjectID="_1352015091" r:id="rId61"/>
        </w:object>
      </w:r>
      <w:r>
        <w:t>&lt;0.18). A comparison is made to the ratio of the percentiles of the distribution of anchovy biomass in 2023 under OMP-04 to a no-catch scenario using the previous assessment. Shaded cells represent cases for which the predicted ratio (depletion) is more pessimistic than that used for OMP-04.</w:t>
      </w:r>
    </w:p>
    <w:tbl>
      <w:tblPr>
        <w:tblStyle w:val="TableGrid"/>
        <w:tblW w:w="0" w:type="auto"/>
        <w:tblLook w:val="01E0"/>
      </w:tblPr>
      <w:tblGrid>
        <w:gridCol w:w="889"/>
        <w:gridCol w:w="1994"/>
        <w:gridCol w:w="1995"/>
      </w:tblGrid>
      <w:tr w:rsidR="00F44CB1" w:rsidTr="007169F5">
        <w:tc>
          <w:tcPr>
            <w:tcW w:w="889" w:type="dxa"/>
            <w:vMerge w:val="restart"/>
          </w:tcPr>
          <w:p w:rsidR="00F44CB1" w:rsidRPr="00F44CB1" w:rsidRDefault="00F44CB1" w:rsidP="00FB0B38">
            <w:pPr>
              <w:pStyle w:val="BodyText"/>
              <w:spacing w:line="240" w:lineRule="auto"/>
              <w:jc w:val="center"/>
              <w:rPr>
                <w:szCs w:val="22"/>
              </w:rPr>
            </w:pPr>
          </w:p>
        </w:tc>
        <w:tc>
          <w:tcPr>
            <w:tcW w:w="1994" w:type="dxa"/>
          </w:tcPr>
          <w:p w:rsidR="00F44CB1" w:rsidRPr="00F44CB1" w:rsidRDefault="00F44CB1" w:rsidP="00FB0B38">
            <w:pPr>
              <w:pStyle w:val="BodyText"/>
              <w:spacing w:line="240" w:lineRule="auto"/>
              <w:jc w:val="center"/>
              <w:rPr>
                <w:szCs w:val="22"/>
              </w:rPr>
            </w:pPr>
            <w:r w:rsidRPr="00F44CB1">
              <w:rPr>
                <w:szCs w:val="22"/>
              </w:rPr>
              <w:t>OMP-04/No-Catch</w:t>
            </w:r>
          </w:p>
        </w:tc>
        <w:tc>
          <w:tcPr>
            <w:tcW w:w="1995" w:type="dxa"/>
          </w:tcPr>
          <w:p w:rsidR="00F44CB1" w:rsidRPr="00F44CB1" w:rsidRDefault="00F44CB1" w:rsidP="00FB0B38">
            <w:pPr>
              <w:pStyle w:val="BodyText"/>
              <w:spacing w:line="240" w:lineRule="auto"/>
              <w:jc w:val="center"/>
              <w:rPr>
                <w:szCs w:val="22"/>
              </w:rPr>
            </w:pPr>
            <w:r w:rsidRPr="00F44CB1">
              <w:rPr>
                <w:szCs w:val="22"/>
              </w:rPr>
              <w:t>OMP-08/No-catch</w:t>
            </w:r>
          </w:p>
        </w:tc>
      </w:tr>
      <w:tr w:rsidR="00F44CB1" w:rsidTr="007169F5">
        <w:tc>
          <w:tcPr>
            <w:tcW w:w="889" w:type="dxa"/>
            <w:vMerge/>
          </w:tcPr>
          <w:p w:rsidR="00F44CB1" w:rsidRPr="00F44CB1" w:rsidRDefault="00F44CB1" w:rsidP="00FB0B38">
            <w:pPr>
              <w:pStyle w:val="BodyText"/>
              <w:spacing w:line="240" w:lineRule="auto"/>
              <w:jc w:val="center"/>
              <w:rPr>
                <w:szCs w:val="22"/>
              </w:rPr>
            </w:pPr>
          </w:p>
        </w:tc>
        <w:tc>
          <w:tcPr>
            <w:tcW w:w="1994" w:type="dxa"/>
          </w:tcPr>
          <w:p w:rsidR="00F44CB1" w:rsidRPr="00F44CB1" w:rsidRDefault="00F44CB1" w:rsidP="00FB0B38">
            <w:pPr>
              <w:pStyle w:val="BodyText"/>
              <w:spacing w:line="240" w:lineRule="auto"/>
              <w:jc w:val="center"/>
              <w:rPr>
                <w:szCs w:val="22"/>
              </w:rPr>
            </w:pPr>
          </w:p>
        </w:tc>
        <w:tc>
          <w:tcPr>
            <w:tcW w:w="1995" w:type="dxa"/>
          </w:tcPr>
          <w:p w:rsidR="00F44CB1" w:rsidRPr="00F44CB1" w:rsidRDefault="00F44CB1" w:rsidP="00F44CB1">
            <w:pPr>
              <w:pStyle w:val="BodyText"/>
              <w:spacing w:line="240" w:lineRule="auto"/>
              <w:jc w:val="center"/>
              <w:rPr>
                <w:szCs w:val="22"/>
              </w:rPr>
            </w:pPr>
            <w:r w:rsidRPr="00F44CB1">
              <w:rPr>
                <w:position w:val="-10"/>
                <w:szCs w:val="22"/>
              </w:rPr>
              <w:object w:dxaOrig="520" w:dyaOrig="320">
                <v:shape id="_x0000_i1050" type="#_x0000_t75" style="width:26.25pt;height:15.75pt" o:ole="" o:bullet="t">
                  <v:imagedata r:id="rId16" o:title=""/>
                </v:shape>
                <o:OLEObject Type="Embed" ProgID="Equation.3" ShapeID="_x0000_i1050" DrawAspect="Content" ObjectID="_1352015092" r:id="rId62"/>
              </w:object>
            </w:r>
            <w:r w:rsidRPr="00F44CB1">
              <w:rPr>
                <w:szCs w:val="22"/>
              </w:rPr>
              <w:t>&lt;0.10</w:t>
            </w:r>
          </w:p>
        </w:tc>
      </w:tr>
      <w:tr w:rsidR="00F44CB1" w:rsidTr="007169F5">
        <w:tc>
          <w:tcPr>
            <w:tcW w:w="889" w:type="dxa"/>
          </w:tcPr>
          <w:p w:rsidR="00F44CB1" w:rsidRPr="00F44CB1" w:rsidRDefault="00F44CB1" w:rsidP="00FB0B38">
            <w:pPr>
              <w:pStyle w:val="BodyText"/>
              <w:spacing w:line="240" w:lineRule="auto"/>
              <w:rPr>
                <w:szCs w:val="22"/>
              </w:rPr>
            </w:pPr>
            <w:r w:rsidRPr="00F44CB1">
              <w:rPr>
                <w:szCs w:val="22"/>
              </w:rPr>
              <w:t>10%ile</w:t>
            </w:r>
          </w:p>
        </w:tc>
        <w:tc>
          <w:tcPr>
            <w:tcW w:w="1994" w:type="dxa"/>
            <w:shd w:val="clear" w:color="auto" w:fill="auto"/>
            <w:vAlign w:val="bottom"/>
          </w:tcPr>
          <w:p w:rsidR="00F44CB1" w:rsidRPr="00F44CB1" w:rsidRDefault="00F44CB1" w:rsidP="00FB0B38">
            <w:pPr>
              <w:jc w:val="right"/>
              <w:rPr>
                <w:szCs w:val="22"/>
              </w:rPr>
            </w:pPr>
            <w:r w:rsidRPr="00F44CB1">
              <w:rPr>
                <w:szCs w:val="22"/>
              </w:rPr>
              <w:t>0.25</w:t>
            </w:r>
          </w:p>
        </w:tc>
        <w:tc>
          <w:tcPr>
            <w:tcW w:w="1995" w:type="dxa"/>
            <w:vAlign w:val="bottom"/>
          </w:tcPr>
          <w:p w:rsidR="00F44CB1" w:rsidRPr="00F44CB1" w:rsidRDefault="00F44CB1" w:rsidP="00FB0B38">
            <w:pPr>
              <w:jc w:val="right"/>
              <w:rPr>
                <w:szCs w:val="22"/>
              </w:rPr>
            </w:pPr>
            <w:r w:rsidRPr="00F44CB1">
              <w:rPr>
                <w:szCs w:val="22"/>
              </w:rPr>
              <w:t>0.31</w:t>
            </w:r>
          </w:p>
        </w:tc>
      </w:tr>
      <w:tr w:rsidR="00F44CB1" w:rsidTr="007169F5">
        <w:tc>
          <w:tcPr>
            <w:tcW w:w="889" w:type="dxa"/>
          </w:tcPr>
          <w:p w:rsidR="00F44CB1" w:rsidRPr="00F44CB1" w:rsidRDefault="00F44CB1" w:rsidP="00FB0B38">
            <w:pPr>
              <w:pStyle w:val="BodyText"/>
              <w:spacing w:line="240" w:lineRule="auto"/>
              <w:rPr>
                <w:szCs w:val="22"/>
              </w:rPr>
            </w:pPr>
            <w:r w:rsidRPr="00F44CB1">
              <w:rPr>
                <w:szCs w:val="22"/>
              </w:rPr>
              <w:t>20%ile</w:t>
            </w:r>
          </w:p>
        </w:tc>
        <w:tc>
          <w:tcPr>
            <w:tcW w:w="1994" w:type="dxa"/>
            <w:shd w:val="clear" w:color="auto" w:fill="auto"/>
            <w:vAlign w:val="bottom"/>
          </w:tcPr>
          <w:p w:rsidR="00F44CB1" w:rsidRPr="00F44CB1" w:rsidRDefault="00F6148A" w:rsidP="00FB0B38">
            <w:pPr>
              <w:jc w:val="right"/>
              <w:rPr>
                <w:szCs w:val="22"/>
              </w:rPr>
            </w:pPr>
            <w:r w:rsidRPr="00F6148A">
              <w:rPr>
                <w:szCs w:val="22"/>
              </w:rPr>
              <w:t>0.37</w:t>
            </w:r>
          </w:p>
        </w:tc>
        <w:tc>
          <w:tcPr>
            <w:tcW w:w="1995" w:type="dxa"/>
            <w:vAlign w:val="bottom"/>
          </w:tcPr>
          <w:p w:rsidR="00F44CB1" w:rsidRPr="00F44CB1" w:rsidRDefault="00F44CB1" w:rsidP="00FB0B38">
            <w:pPr>
              <w:jc w:val="right"/>
              <w:rPr>
                <w:szCs w:val="22"/>
              </w:rPr>
            </w:pPr>
            <w:r w:rsidRPr="00F44CB1">
              <w:rPr>
                <w:szCs w:val="22"/>
              </w:rPr>
              <w:t>0.38</w:t>
            </w:r>
          </w:p>
        </w:tc>
      </w:tr>
      <w:tr w:rsidR="00F44CB1" w:rsidTr="007169F5">
        <w:tc>
          <w:tcPr>
            <w:tcW w:w="889" w:type="dxa"/>
          </w:tcPr>
          <w:p w:rsidR="00F44CB1" w:rsidRPr="00F44CB1" w:rsidRDefault="00F44CB1" w:rsidP="00FB0B38">
            <w:pPr>
              <w:pStyle w:val="BodyText"/>
              <w:spacing w:line="240" w:lineRule="auto"/>
              <w:rPr>
                <w:szCs w:val="22"/>
              </w:rPr>
            </w:pPr>
            <w:r w:rsidRPr="00F44CB1">
              <w:rPr>
                <w:szCs w:val="22"/>
              </w:rPr>
              <w:t>30%ile</w:t>
            </w:r>
          </w:p>
        </w:tc>
        <w:tc>
          <w:tcPr>
            <w:tcW w:w="1994" w:type="dxa"/>
            <w:shd w:val="clear" w:color="auto" w:fill="auto"/>
            <w:vAlign w:val="bottom"/>
          </w:tcPr>
          <w:p w:rsidR="00F44CB1" w:rsidRPr="00F44CB1" w:rsidRDefault="00F6148A" w:rsidP="00FB0B38">
            <w:pPr>
              <w:jc w:val="right"/>
              <w:rPr>
                <w:szCs w:val="22"/>
              </w:rPr>
            </w:pPr>
            <w:r w:rsidRPr="00F6148A">
              <w:rPr>
                <w:szCs w:val="22"/>
              </w:rPr>
              <w:t>0.45</w:t>
            </w:r>
          </w:p>
        </w:tc>
        <w:tc>
          <w:tcPr>
            <w:tcW w:w="1995" w:type="dxa"/>
            <w:vAlign w:val="bottom"/>
          </w:tcPr>
          <w:p w:rsidR="00F44CB1" w:rsidRPr="007169F5" w:rsidRDefault="00F6148A" w:rsidP="00FB0B38">
            <w:pPr>
              <w:jc w:val="right"/>
              <w:rPr>
                <w:szCs w:val="22"/>
                <w:highlight w:val="lightGray"/>
              </w:rPr>
            </w:pPr>
            <w:r w:rsidRPr="00F6148A">
              <w:rPr>
                <w:szCs w:val="22"/>
                <w:highlight w:val="lightGray"/>
              </w:rPr>
              <w:t>0.42</w:t>
            </w:r>
          </w:p>
        </w:tc>
      </w:tr>
      <w:tr w:rsidR="00F44CB1" w:rsidTr="007169F5">
        <w:tc>
          <w:tcPr>
            <w:tcW w:w="889" w:type="dxa"/>
          </w:tcPr>
          <w:p w:rsidR="00F44CB1" w:rsidRPr="00F44CB1" w:rsidRDefault="00F44CB1" w:rsidP="00FB0B38">
            <w:pPr>
              <w:pStyle w:val="BodyText"/>
              <w:spacing w:line="240" w:lineRule="auto"/>
              <w:rPr>
                <w:szCs w:val="22"/>
              </w:rPr>
            </w:pPr>
            <w:r w:rsidRPr="00F44CB1">
              <w:rPr>
                <w:szCs w:val="22"/>
              </w:rPr>
              <w:t>40%ile</w:t>
            </w:r>
          </w:p>
        </w:tc>
        <w:tc>
          <w:tcPr>
            <w:tcW w:w="1994" w:type="dxa"/>
            <w:shd w:val="clear" w:color="auto" w:fill="auto"/>
            <w:vAlign w:val="bottom"/>
          </w:tcPr>
          <w:p w:rsidR="00F44CB1" w:rsidRPr="00F44CB1" w:rsidRDefault="00F6148A" w:rsidP="00FB0B38">
            <w:pPr>
              <w:jc w:val="right"/>
              <w:rPr>
                <w:szCs w:val="22"/>
              </w:rPr>
            </w:pPr>
            <w:r w:rsidRPr="00F6148A">
              <w:rPr>
                <w:szCs w:val="22"/>
              </w:rPr>
              <w:t>0.56</w:t>
            </w:r>
          </w:p>
        </w:tc>
        <w:tc>
          <w:tcPr>
            <w:tcW w:w="1995" w:type="dxa"/>
            <w:vAlign w:val="bottom"/>
          </w:tcPr>
          <w:p w:rsidR="00F44CB1" w:rsidRPr="007169F5" w:rsidRDefault="00F6148A" w:rsidP="00FB0B38">
            <w:pPr>
              <w:jc w:val="right"/>
              <w:rPr>
                <w:szCs w:val="22"/>
                <w:highlight w:val="lightGray"/>
              </w:rPr>
            </w:pPr>
            <w:r w:rsidRPr="00F6148A">
              <w:rPr>
                <w:szCs w:val="22"/>
                <w:highlight w:val="lightGray"/>
              </w:rPr>
              <w:t>0.44</w:t>
            </w:r>
          </w:p>
        </w:tc>
      </w:tr>
      <w:tr w:rsidR="00F44CB1" w:rsidTr="007169F5">
        <w:tc>
          <w:tcPr>
            <w:tcW w:w="889" w:type="dxa"/>
          </w:tcPr>
          <w:p w:rsidR="00F44CB1" w:rsidRPr="00F44CB1" w:rsidRDefault="00F44CB1" w:rsidP="00FB0B38">
            <w:pPr>
              <w:pStyle w:val="BodyText"/>
              <w:spacing w:line="240" w:lineRule="auto"/>
              <w:rPr>
                <w:szCs w:val="22"/>
              </w:rPr>
            </w:pPr>
            <w:r w:rsidRPr="00F44CB1">
              <w:rPr>
                <w:szCs w:val="22"/>
              </w:rPr>
              <w:t>Median</w:t>
            </w:r>
          </w:p>
        </w:tc>
        <w:tc>
          <w:tcPr>
            <w:tcW w:w="1994" w:type="dxa"/>
            <w:shd w:val="clear" w:color="auto" w:fill="auto"/>
            <w:vAlign w:val="bottom"/>
          </w:tcPr>
          <w:p w:rsidR="00F44CB1" w:rsidRPr="00F44CB1" w:rsidRDefault="00F6148A" w:rsidP="00FB0B38">
            <w:pPr>
              <w:jc w:val="right"/>
              <w:rPr>
                <w:szCs w:val="22"/>
              </w:rPr>
            </w:pPr>
            <w:r w:rsidRPr="00F6148A">
              <w:rPr>
                <w:szCs w:val="22"/>
              </w:rPr>
              <w:t>0.58</w:t>
            </w:r>
          </w:p>
        </w:tc>
        <w:tc>
          <w:tcPr>
            <w:tcW w:w="1995" w:type="dxa"/>
            <w:vAlign w:val="bottom"/>
          </w:tcPr>
          <w:p w:rsidR="00F44CB1" w:rsidRPr="007169F5" w:rsidRDefault="00F6148A" w:rsidP="00FB0B38">
            <w:pPr>
              <w:jc w:val="right"/>
              <w:rPr>
                <w:szCs w:val="22"/>
                <w:highlight w:val="lightGray"/>
              </w:rPr>
            </w:pPr>
            <w:r w:rsidRPr="00F6148A">
              <w:rPr>
                <w:szCs w:val="22"/>
                <w:highlight w:val="lightGray"/>
              </w:rPr>
              <w:t>0.51</w:t>
            </w:r>
          </w:p>
        </w:tc>
      </w:tr>
    </w:tbl>
    <w:p w:rsidR="00F44CB1" w:rsidRDefault="00F44CB1" w:rsidP="00F44CB1">
      <w:pPr>
        <w:pStyle w:val="BodyText"/>
      </w:pPr>
    </w:p>
    <w:p w:rsidR="00CA147B" w:rsidRDefault="00CA147B" w:rsidP="00CF03D3">
      <w:pPr>
        <w:pStyle w:val="BodyText"/>
      </w:pPr>
    </w:p>
    <w:p w:rsidR="00CF03D3" w:rsidRPr="00CF03D3" w:rsidRDefault="00CF03D3" w:rsidP="00CA147B">
      <w:pPr>
        <w:pStyle w:val="BodyText"/>
        <w:jc w:val="center"/>
      </w:pPr>
      <w:r w:rsidRPr="00CF03D3">
        <w:rPr>
          <w:noProof/>
          <w:lang w:val="en-ZA" w:eastAsia="en-ZA"/>
        </w:rPr>
        <w:drawing>
          <wp:inline distT="0" distB="0" distL="0" distR="0">
            <wp:extent cx="4276725" cy="29718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3" cstate="print"/>
                    <a:srcRect/>
                    <a:stretch>
                      <a:fillRect/>
                    </a:stretch>
                  </pic:blipFill>
                  <pic:spPr bwMode="auto">
                    <a:xfrm>
                      <a:off x="0" y="0"/>
                      <a:ext cx="4276725" cy="2971800"/>
                    </a:xfrm>
                    <a:prstGeom prst="rect">
                      <a:avLst/>
                    </a:prstGeom>
                    <a:noFill/>
                    <a:ln w="9525">
                      <a:noFill/>
                      <a:miter lim="800000"/>
                      <a:headEnd/>
                      <a:tailEnd/>
                    </a:ln>
                  </pic:spPr>
                </pic:pic>
              </a:graphicData>
            </a:graphic>
          </wp:inline>
        </w:drawing>
      </w:r>
    </w:p>
    <w:p w:rsidR="00CF03D3" w:rsidRPr="00CF03D3" w:rsidRDefault="00CF03D3" w:rsidP="00CF03D3">
      <w:pPr>
        <w:pStyle w:val="BodyText"/>
      </w:pPr>
      <w:r w:rsidRPr="00CF03D3">
        <w:rPr>
          <w:b/>
        </w:rPr>
        <w:t xml:space="preserve">Figure </w:t>
      </w:r>
      <w:r w:rsidR="00CA147B">
        <w:rPr>
          <w:b/>
        </w:rPr>
        <w:t>D.1</w:t>
      </w:r>
      <w:r w:rsidRPr="00CF03D3">
        <w:rPr>
          <w:b/>
        </w:rPr>
        <w:t>.</w:t>
      </w:r>
      <w:r w:rsidRPr="00CF03D3">
        <w:t xml:space="preserve"> Trade-off curves for OMP-02, OMP-04 and OMP-08.  The trade-off curve for OMP-08 is determined by points satisfying </w:t>
      </w:r>
      <w:r w:rsidRPr="00CF03D3">
        <w:rPr>
          <w:position w:val="-10"/>
        </w:rPr>
        <w:object w:dxaOrig="520" w:dyaOrig="320">
          <v:shape id="_x0000_i1051" type="#_x0000_t75" style="width:26.25pt;height:15.75pt" o:ole="">
            <v:imagedata r:id="rId64" o:title=""/>
          </v:shape>
          <o:OLEObject Type="Embed" ProgID="Equation.3" ShapeID="_x0000_i1051" DrawAspect="Content" ObjectID="_1352015093" r:id="rId65"/>
        </w:object>
      </w:r>
      <w:r w:rsidRPr="00CF03D3">
        <w:t xml:space="preserve">&lt;0.18 and </w:t>
      </w:r>
      <w:r w:rsidRPr="00CF03D3">
        <w:rPr>
          <w:position w:val="-10"/>
        </w:rPr>
        <w:object w:dxaOrig="520" w:dyaOrig="320">
          <v:shape id="_x0000_i1052" type="#_x0000_t75" style="width:26.25pt;height:15.75pt" o:ole="">
            <v:imagedata r:id="rId66" o:title=""/>
          </v:shape>
          <o:OLEObject Type="Embed" ProgID="Equation.3" ShapeID="_x0000_i1052" DrawAspect="Content" ObjectID="_1352015094" r:id="rId67"/>
        </w:object>
      </w:r>
      <w:r w:rsidRPr="00CF03D3">
        <w:t>&lt;0.10.</w:t>
      </w:r>
    </w:p>
    <w:p w:rsidR="00CF03D3" w:rsidRDefault="00CF03D3" w:rsidP="00CF03D3">
      <w:pPr>
        <w:pStyle w:val="BodyText"/>
        <w:rPr>
          <w:i/>
        </w:rPr>
      </w:pPr>
    </w:p>
    <w:p w:rsidR="00A53349" w:rsidRDefault="00A53349" w:rsidP="00CF03D3">
      <w:pPr>
        <w:pStyle w:val="BodyText"/>
      </w:pPr>
    </w:p>
    <w:p w:rsidR="00CF03D3" w:rsidRDefault="00F93929" w:rsidP="00CF03D3">
      <w:pPr>
        <w:pStyle w:val="BodyText"/>
      </w:pPr>
      <w:r>
        <w:rPr>
          <w:noProof/>
          <w:lang w:val="en-ZA" w:eastAsia="en-ZA"/>
        </w:rPr>
        <w:lastRenderedPageBreak/>
        <w:drawing>
          <wp:inline distT="0" distB="0" distL="0" distR="0">
            <wp:extent cx="2915989" cy="1813050"/>
            <wp:effectExtent l="1905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8" cstate="print"/>
                    <a:srcRect/>
                    <a:stretch>
                      <a:fillRect/>
                    </a:stretch>
                  </pic:blipFill>
                  <pic:spPr bwMode="auto">
                    <a:xfrm>
                      <a:off x="0" y="0"/>
                      <a:ext cx="2915989" cy="1813050"/>
                    </a:xfrm>
                    <a:prstGeom prst="rect">
                      <a:avLst/>
                    </a:prstGeom>
                    <a:noFill/>
                    <a:ln w="9525">
                      <a:noFill/>
                      <a:miter lim="800000"/>
                      <a:headEnd/>
                      <a:tailEnd/>
                    </a:ln>
                  </pic:spPr>
                </pic:pic>
              </a:graphicData>
            </a:graphic>
          </wp:inline>
        </w:drawing>
      </w:r>
      <w:r>
        <w:rPr>
          <w:noProof/>
          <w:lang w:val="en-ZA" w:eastAsia="en-ZA"/>
        </w:rPr>
        <w:drawing>
          <wp:inline distT="0" distB="0" distL="0" distR="0">
            <wp:extent cx="2915989" cy="1941475"/>
            <wp:effectExtent l="1905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69" cstate="print"/>
                    <a:srcRect/>
                    <a:stretch>
                      <a:fillRect/>
                    </a:stretch>
                  </pic:blipFill>
                  <pic:spPr bwMode="auto">
                    <a:xfrm>
                      <a:off x="0" y="0"/>
                      <a:ext cx="2915989" cy="1941475"/>
                    </a:xfrm>
                    <a:prstGeom prst="rect">
                      <a:avLst/>
                    </a:prstGeom>
                    <a:noFill/>
                    <a:ln w="9525">
                      <a:noFill/>
                      <a:miter lim="800000"/>
                      <a:headEnd/>
                      <a:tailEnd/>
                    </a:ln>
                  </pic:spPr>
                </pic:pic>
              </a:graphicData>
            </a:graphic>
          </wp:inline>
        </w:drawing>
      </w:r>
    </w:p>
    <w:p w:rsidR="00174653" w:rsidRPr="00174653" w:rsidRDefault="00174653" w:rsidP="00174653">
      <w:pPr>
        <w:pStyle w:val="BodyText"/>
      </w:pPr>
      <w:r w:rsidRPr="00174653">
        <w:rPr>
          <w:b/>
        </w:rPr>
        <w:t>Figure D.</w:t>
      </w:r>
      <w:r>
        <w:rPr>
          <w:b/>
        </w:rPr>
        <w:t>2</w:t>
      </w:r>
      <w:r w:rsidRPr="00174653">
        <w:rPr>
          <w:b/>
        </w:rPr>
        <w:t>.</w:t>
      </w:r>
      <w:r w:rsidRPr="00174653">
        <w:t xml:space="preserve"> Comparison of </w:t>
      </w:r>
      <w:r>
        <w:t>anchovy</w:t>
      </w:r>
      <w:r w:rsidRPr="00174653">
        <w:t xml:space="preserve"> biomass distributions in the final projection year under a no catch scenario and the pertinent OMP for the 2004 assessment (</w:t>
      </w:r>
      <w:r>
        <w:t>left p</w:t>
      </w:r>
      <w:r w:rsidRPr="00174653">
        <w:t>l</w:t>
      </w:r>
      <w:r>
        <w:t>ot</w:t>
      </w:r>
      <w:r w:rsidRPr="00174653">
        <w:t>) and the 2007 assessment (</w:t>
      </w:r>
      <w:r>
        <w:t>right</w:t>
      </w:r>
      <w:r w:rsidRPr="00174653">
        <w:t xml:space="preserve"> p</w:t>
      </w:r>
      <w:r>
        <w:t>lot</w:t>
      </w:r>
      <w:r w:rsidRPr="00174653">
        <w:t>).</w:t>
      </w:r>
      <w:r>
        <w:t xml:space="preserve">  In the right hand plot the risk threshold for anchovy is 0.10 and for sardine is 0.18.</w:t>
      </w:r>
      <w:r w:rsidRPr="00174653">
        <w:t xml:space="preserve"> </w:t>
      </w:r>
    </w:p>
    <w:p w:rsidR="00174653" w:rsidRDefault="00174653" w:rsidP="00CF03D3">
      <w:pPr>
        <w:pStyle w:val="BodyText"/>
      </w:pPr>
    </w:p>
    <w:p w:rsidR="00174653" w:rsidRDefault="00F93929" w:rsidP="00CF03D3">
      <w:pPr>
        <w:pStyle w:val="BodyText"/>
      </w:pPr>
      <w:r>
        <w:rPr>
          <w:noProof/>
          <w:lang w:val="en-ZA" w:eastAsia="en-ZA"/>
        </w:rPr>
        <w:drawing>
          <wp:inline distT="0" distB="0" distL="0" distR="0">
            <wp:extent cx="2915989" cy="1949029"/>
            <wp:effectExtent l="1905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0" cstate="print"/>
                    <a:srcRect/>
                    <a:stretch>
                      <a:fillRect/>
                    </a:stretch>
                  </pic:blipFill>
                  <pic:spPr bwMode="auto">
                    <a:xfrm>
                      <a:off x="0" y="0"/>
                      <a:ext cx="2915989" cy="1949029"/>
                    </a:xfrm>
                    <a:prstGeom prst="rect">
                      <a:avLst/>
                    </a:prstGeom>
                    <a:noFill/>
                    <a:ln w="9525">
                      <a:noFill/>
                      <a:miter lim="800000"/>
                      <a:headEnd/>
                      <a:tailEnd/>
                    </a:ln>
                  </pic:spPr>
                </pic:pic>
              </a:graphicData>
            </a:graphic>
          </wp:inline>
        </w:drawing>
      </w:r>
      <w:r w:rsidR="00174653" w:rsidRPr="00174653">
        <w:t xml:space="preserve"> </w:t>
      </w:r>
      <w:r>
        <w:rPr>
          <w:noProof/>
          <w:lang w:val="en-ZA" w:eastAsia="en-ZA"/>
        </w:rPr>
        <w:drawing>
          <wp:inline distT="0" distB="0" distL="0" distR="0">
            <wp:extent cx="2915989" cy="1941475"/>
            <wp:effectExtent l="1905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71" cstate="print"/>
                    <a:srcRect/>
                    <a:stretch>
                      <a:fillRect/>
                    </a:stretch>
                  </pic:blipFill>
                  <pic:spPr bwMode="auto">
                    <a:xfrm>
                      <a:off x="0" y="0"/>
                      <a:ext cx="2915989" cy="1941475"/>
                    </a:xfrm>
                    <a:prstGeom prst="rect">
                      <a:avLst/>
                    </a:prstGeom>
                    <a:noFill/>
                    <a:ln w="9525">
                      <a:noFill/>
                      <a:miter lim="800000"/>
                      <a:headEnd/>
                      <a:tailEnd/>
                    </a:ln>
                  </pic:spPr>
                </pic:pic>
              </a:graphicData>
            </a:graphic>
          </wp:inline>
        </w:drawing>
      </w:r>
    </w:p>
    <w:p w:rsidR="00174653" w:rsidRPr="00174653" w:rsidRDefault="00174653" w:rsidP="00174653">
      <w:pPr>
        <w:pStyle w:val="BodyText"/>
      </w:pPr>
      <w:r w:rsidRPr="00174653">
        <w:rPr>
          <w:b/>
        </w:rPr>
        <w:t>Figure D.3.</w:t>
      </w:r>
      <w:r w:rsidRPr="00174653">
        <w:t xml:space="preserve"> Comparison of sardine biomass distributions in the final projection year under a no catch scenario and the pertinent OMP for the 2004 assessment (</w:t>
      </w:r>
      <w:r>
        <w:t>left p</w:t>
      </w:r>
      <w:r w:rsidRPr="00174653">
        <w:t>l</w:t>
      </w:r>
      <w:r>
        <w:t>ot</w:t>
      </w:r>
      <w:r w:rsidRPr="00174653">
        <w:t>) and the 2007 assessment (</w:t>
      </w:r>
      <w:r>
        <w:t>right</w:t>
      </w:r>
      <w:r w:rsidRPr="00174653">
        <w:t xml:space="preserve"> p</w:t>
      </w:r>
      <w:r>
        <w:t>lot</w:t>
      </w:r>
      <w:r w:rsidRPr="00174653">
        <w:t>).</w:t>
      </w:r>
      <w:r>
        <w:t xml:space="preserve">  In the right hand plot the risk threshold for anchovy is 0.10 and for sardine is 0.18.</w:t>
      </w:r>
      <w:r w:rsidRPr="00174653">
        <w:t xml:space="preserve"> </w:t>
      </w:r>
    </w:p>
    <w:p w:rsidR="00174653" w:rsidRPr="00174653" w:rsidRDefault="00174653" w:rsidP="00174653">
      <w:pPr>
        <w:pStyle w:val="BodyText"/>
      </w:pPr>
    </w:p>
    <w:sectPr w:rsidR="00174653" w:rsidRPr="00174653" w:rsidSect="00693C0B">
      <w:headerReference w:type="default" r:id="rId72"/>
      <w:footerReference w:type="even" r:id="rId73"/>
      <w:footerReference w:type="default" r:id="rId74"/>
      <w:pgSz w:w="11906" w:h="16838" w:code="9"/>
      <w:pgMar w:top="1134" w:right="1134" w:bottom="1134" w:left="1134" w:header="709" w:footer="709" w:gutter="28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929" w:rsidRDefault="00F93929">
      <w:r>
        <w:separator/>
      </w:r>
    </w:p>
  </w:endnote>
  <w:endnote w:type="continuationSeparator" w:id="0">
    <w:p w:rsidR="00F93929" w:rsidRDefault="00F939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DA" w:rsidRDefault="00A35C36" w:rsidP="00766512">
    <w:pPr>
      <w:pStyle w:val="Footer"/>
      <w:framePr w:wrap="around" w:vAnchor="text" w:hAnchor="margin" w:xAlign="center" w:y="1"/>
      <w:rPr>
        <w:rStyle w:val="PageNumber"/>
      </w:rPr>
    </w:pPr>
    <w:r>
      <w:rPr>
        <w:rStyle w:val="PageNumber"/>
      </w:rPr>
      <w:fldChar w:fldCharType="begin"/>
    </w:r>
    <w:r w:rsidR="00232B3A">
      <w:rPr>
        <w:rStyle w:val="PageNumber"/>
      </w:rPr>
      <w:instrText xml:space="preserve">PAGE  </w:instrText>
    </w:r>
    <w:r>
      <w:rPr>
        <w:rStyle w:val="PageNumber"/>
      </w:rPr>
      <w:fldChar w:fldCharType="end"/>
    </w:r>
  </w:p>
  <w:p w:rsidR="00CA1DDA" w:rsidRDefault="00901B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DA" w:rsidRDefault="00A35C36">
    <w:pPr>
      <w:pStyle w:val="Footer"/>
      <w:jc w:val="right"/>
    </w:pPr>
    <w:r>
      <w:fldChar w:fldCharType="begin"/>
    </w:r>
    <w:r w:rsidR="00232B3A">
      <w:instrText xml:space="preserve"> PAGE   \* MERGEFORMAT </w:instrText>
    </w:r>
    <w:r>
      <w:fldChar w:fldCharType="separate"/>
    </w:r>
    <w:r w:rsidR="00901B86">
      <w:rPr>
        <w:noProof/>
      </w:rPr>
      <w:t>1</w:t>
    </w:r>
    <w:r>
      <w:fldChar w:fldCharType="end"/>
    </w:r>
  </w:p>
  <w:p w:rsidR="00CA1DDA" w:rsidRDefault="00901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929" w:rsidRDefault="00F93929">
      <w:r>
        <w:separator/>
      </w:r>
    </w:p>
  </w:footnote>
  <w:footnote w:type="continuationSeparator" w:id="0">
    <w:p w:rsidR="00F93929" w:rsidRDefault="00F93929">
      <w:r>
        <w:continuationSeparator/>
      </w:r>
    </w:p>
  </w:footnote>
  <w:footnote w:id="1">
    <w:p w:rsidR="00E21F36" w:rsidRDefault="00E21F36" w:rsidP="00E21F36">
      <w:pPr>
        <w:pStyle w:val="FootnoteText"/>
      </w:pPr>
      <w:r>
        <w:rPr>
          <w:rStyle w:val="FootnoteReference"/>
        </w:rPr>
        <w:sym w:font="Symbol" w:char="F02A"/>
      </w:r>
      <w:r>
        <w:t xml:space="preserve"> MARAM (Marine Resource Assessment and Management Group), Department of Mathematics and Applied Mathematics, University of Cape Town, Rondebosch, 7701, South Africa.</w:t>
      </w:r>
    </w:p>
  </w:footnote>
  <w:footnote w:id="2">
    <w:p w:rsidR="00362CC6" w:rsidRDefault="00791BAC">
      <w:pPr>
        <w:pStyle w:val="FootnoteText"/>
        <w:rPr>
          <w:lang w:val="en-US"/>
        </w:rPr>
      </w:pPr>
      <w:r>
        <w:rPr>
          <w:rStyle w:val="FootnoteReference"/>
        </w:rPr>
        <w:footnoteRef/>
      </w:r>
      <w:r>
        <w:t xml:space="preserve"> </w:t>
      </w:r>
      <w:r>
        <w:rPr>
          <w:lang w:val="en-US"/>
        </w:rPr>
        <w:t>As juvenile anchovy shoal together with juvenile sardine for a large part of the time for which the</w:t>
      </w:r>
      <w:r w:rsidR="00362CC6">
        <w:rPr>
          <w:lang w:val="en-US"/>
        </w:rPr>
        <w:t>y</w:t>
      </w:r>
      <w:r>
        <w:rPr>
          <w:lang w:val="en-US"/>
        </w:rPr>
        <w:t xml:space="preserve"> are available to the fishery, most anchovy landings are therefore associated with a juvenile sardine </w:t>
      </w:r>
      <w:proofErr w:type="spellStart"/>
      <w:r>
        <w:rPr>
          <w:lang w:val="en-US"/>
        </w:rPr>
        <w:t>bycatch</w:t>
      </w:r>
      <w:proofErr w:type="spellEnd"/>
      <w:r>
        <w:rPr>
          <w:lang w:val="en-US"/>
        </w:rPr>
        <w:t xml:space="preserve">.  As a result, landings of sardine and anchovy cannot be separately maximized and therefore a joint management procedure is employed for both species.  </w:t>
      </w:r>
      <w:r w:rsidR="00362CC6">
        <w:rPr>
          <w:lang w:val="en-US"/>
        </w:rPr>
        <w:t xml:space="preserve">In addition, redeye round herring incur a </w:t>
      </w:r>
      <w:proofErr w:type="spellStart"/>
      <w:r w:rsidR="00362CC6">
        <w:rPr>
          <w:lang w:val="en-US"/>
        </w:rPr>
        <w:t>bycatch</w:t>
      </w:r>
      <w:proofErr w:type="spellEnd"/>
      <w:r w:rsidR="00362CC6">
        <w:rPr>
          <w:lang w:val="en-US"/>
        </w:rPr>
        <w:t xml:space="preserve"> of adult sardine.  A fixed tonnage of adult sardine </w:t>
      </w:r>
      <w:proofErr w:type="spellStart"/>
      <w:r w:rsidR="00362CC6">
        <w:rPr>
          <w:lang w:val="en-US"/>
        </w:rPr>
        <w:t>bycatch</w:t>
      </w:r>
      <w:proofErr w:type="spellEnd"/>
      <w:r w:rsidR="00362CC6">
        <w:rPr>
          <w:lang w:val="en-US"/>
        </w:rPr>
        <w:t xml:space="preserve"> is incorporated into the management procedure to allow for </w:t>
      </w:r>
      <w:proofErr w:type="spellStart"/>
      <w:r w:rsidR="00362CC6">
        <w:rPr>
          <w:lang w:val="en-US"/>
        </w:rPr>
        <w:t>bycatch</w:t>
      </w:r>
      <w:proofErr w:type="spellEnd"/>
      <w:r w:rsidR="00362CC6">
        <w:rPr>
          <w:lang w:val="en-US"/>
        </w:rPr>
        <w:t xml:space="preserve"> with redeye.  (Redeye is managed using a precautionary upper catch limit.)</w:t>
      </w:r>
    </w:p>
    <w:p w:rsidR="00791BAC" w:rsidRPr="00791BAC" w:rsidRDefault="00791BAC">
      <w:pPr>
        <w:pStyle w:val="FootnoteText"/>
        <w:rPr>
          <w:lang w:val="en-US"/>
        </w:rPr>
      </w:pPr>
    </w:p>
  </w:footnote>
  <w:footnote w:id="3">
    <w:p w:rsidR="00362CC6" w:rsidRPr="00362CC6" w:rsidRDefault="00362CC6">
      <w:pPr>
        <w:pStyle w:val="FootnoteText"/>
        <w:rPr>
          <w:lang w:val="en-US"/>
        </w:rPr>
      </w:pPr>
      <w:r>
        <w:rPr>
          <w:rStyle w:val="FootnoteReference"/>
        </w:rPr>
        <w:footnoteRef/>
      </w:r>
      <w:r>
        <w:t xml:space="preserve"> </w:t>
      </w:r>
      <w:r>
        <w:rPr>
          <w:lang w:val="en-US"/>
        </w:rPr>
        <w:t xml:space="preserve">The joint sardine-anchovy management procedure allocates </w:t>
      </w:r>
      <w:proofErr w:type="gramStart"/>
      <w:r>
        <w:rPr>
          <w:lang w:val="en-US"/>
        </w:rPr>
        <w:t>a</w:t>
      </w:r>
      <w:proofErr w:type="gramEnd"/>
      <w:r>
        <w:rPr>
          <w:lang w:val="en-US"/>
        </w:rPr>
        <w:t xml:space="preserve"> annual directed sardine TAC and an initial anchovy TAC and sardine TAB at the beginning of the year.  As the anchovy fishery is primarily a recruit fishery, once an estimate of the year’s recruitment is obtained from the May hydroacoustic survey, the anchovy TAC and sardine TAB are finalized for the “normal season” (1 January to 31 August).  The year is then split into an “additional season” from 1 September to 31 December when juvenile sardine tend to no longer shoal together with juvenile anchovy.  Thus a separate anchovy TAC is allocated for the additional season with a small sardine TAB to allow for the targeting of “clean” anchovy.</w:t>
      </w:r>
      <w:r>
        <w:t xml:space="preserve"> </w:t>
      </w:r>
    </w:p>
  </w:footnote>
  <w:footnote w:id="4">
    <w:p w:rsidR="005D37CE" w:rsidRPr="00C46241" w:rsidRDefault="005D37CE" w:rsidP="005D37CE">
      <w:pPr>
        <w:pStyle w:val="FootnoteText"/>
        <w:rPr>
          <w:lang w:val="en-US"/>
        </w:rPr>
      </w:pPr>
      <w:r>
        <w:rPr>
          <w:rStyle w:val="FootnoteReference"/>
        </w:rPr>
        <w:footnoteRef/>
      </w:r>
      <w:r>
        <w:t xml:space="preserve"> If such movement does occur, it is likely to be continuous throughout the year. This assumption is made in the interests of keeping the model simple.</w:t>
      </w:r>
    </w:p>
  </w:footnote>
  <w:footnote w:id="5">
    <w:p w:rsidR="000F77CC" w:rsidRPr="00575039" w:rsidRDefault="000F77CC" w:rsidP="000F77CC">
      <w:pPr>
        <w:pStyle w:val="FootnoteText"/>
        <w:rPr>
          <w:lang w:val="en-US"/>
        </w:rPr>
      </w:pPr>
      <w:r w:rsidRPr="00575039">
        <w:rPr>
          <w:rStyle w:val="FootnoteReference"/>
        </w:rPr>
        <w:sym w:font="Symbol" w:char="F02A"/>
      </w:r>
      <w:r>
        <w:t xml:space="preserve"> MARAM (Marine Resource Assessment and Management Group), Department of Mathematics and Applied Mathematics, </w:t>
      </w:r>
      <w:smartTag w:uri="urn:schemas-microsoft-com:office:smarttags" w:element="PlaceType">
        <w:r>
          <w:t>University</w:t>
        </w:r>
      </w:smartTag>
      <w:r>
        <w:t xml:space="preserve"> of </w:t>
      </w:r>
      <w:smartTag w:uri="urn:schemas-microsoft-com:office:smarttags" w:element="PlaceName">
        <w:r>
          <w:t>Cape Town</w:t>
        </w:r>
      </w:smartTag>
      <w:r>
        <w:t xml:space="preserve">, Rondebosch, 7701, </w:t>
      </w:r>
      <w:smartTag w:uri="urn:schemas-microsoft-com:office:smarttags" w:element="country-region">
        <w:smartTag w:uri="urn:schemas-microsoft-com:office:smarttags" w:element="place">
          <w:r>
            <w:t>South Africa</w:t>
          </w:r>
        </w:smartTag>
      </w:smartTag>
      <w:r>
        <w:t>.</w:t>
      </w:r>
    </w:p>
  </w:footnote>
  <w:footnote w:id="6">
    <w:p w:rsidR="0013687C" w:rsidRPr="0013687C" w:rsidRDefault="0013687C">
      <w:pPr>
        <w:pStyle w:val="FootnoteText"/>
        <w:rPr>
          <w:lang w:val="en-US"/>
        </w:rPr>
      </w:pPr>
      <w:r w:rsidRPr="0013687C">
        <w:rPr>
          <w:rStyle w:val="FootnoteReference"/>
        </w:rPr>
        <w:sym w:font="Symbol" w:char="F026"/>
      </w:r>
      <w:r>
        <w:t xml:space="preserve"> </w:t>
      </w:r>
      <w:r w:rsidRPr="0046532E">
        <w:t>Department of Agriculture, Forestry and Fisheries – Branch Fisheries, Private Bag X2, Rogge Bay, 8012, South Africa.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DDA" w:rsidRPr="00F44627" w:rsidRDefault="00901B86" w:rsidP="00F75489">
    <w:pPr>
      <w:pStyle w:val="Header"/>
      <w:jc w:val="right"/>
      <w:rPr>
        <w:b w:val="0"/>
        <w:sz w:val="22"/>
        <w:szCs w:val="22"/>
        <w:lang w:val="en-ZA"/>
      </w:rPr>
    </w:pPr>
    <w:r>
      <w:rPr>
        <w:b w:val="0"/>
        <w:sz w:val="22"/>
        <w:szCs w:val="22"/>
        <w:lang w:val="en-ZA"/>
      </w:rPr>
      <w:t xml:space="preserve">MARAM </w:t>
    </w:r>
    <w:r w:rsidR="0013687C">
      <w:rPr>
        <w:b w:val="0"/>
        <w:sz w:val="22"/>
        <w:szCs w:val="22"/>
        <w:lang w:val="en-ZA"/>
      </w:rPr>
      <w:t>IWS/</w:t>
    </w:r>
    <w:r w:rsidR="00047038">
      <w:rPr>
        <w:b w:val="0"/>
        <w:sz w:val="22"/>
        <w:szCs w:val="22"/>
        <w:lang w:val="en-ZA"/>
      </w:rPr>
      <w:t>DEC10</w:t>
    </w:r>
    <w:r>
      <w:rPr>
        <w:b w:val="0"/>
        <w:sz w:val="22"/>
        <w:szCs w:val="22"/>
        <w:lang w:val="en-ZA"/>
      </w:rPr>
      <w:t>/</w:t>
    </w:r>
    <w:r>
      <w:rPr>
        <w:b w:val="0"/>
        <w:sz w:val="22"/>
        <w:szCs w:val="22"/>
        <w:lang w:val="en-ZA"/>
      </w:rPr>
      <w:t>S/P1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6524"/>
    <w:multiLevelType w:val="hybridMultilevel"/>
    <w:tmpl w:val="4DF8AB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D3A9B"/>
    <w:multiLevelType w:val="hybridMultilevel"/>
    <w:tmpl w:val="917E1672"/>
    <w:lvl w:ilvl="0" w:tplc="DF9873F8">
      <w:start w:val="1"/>
      <w:numFmt w:val="lowerRoman"/>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nsid w:val="22624BAE"/>
    <w:multiLevelType w:val="hybridMultilevel"/>
    <w:tmpl w:val="6B841D56"/>
    <w:lvl w:ilvl="0" w:tplc="3FFAE130">
      <w:start w:val="1"/>
      <w:numFmt w:val="lowerRoman"/>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nsid w:val="24242E12"/>
    <w:multiLevelType w:val="hybridMultilevel"/>
    <w:tmpl w:val="E19008D6"/>
    <w:lvl w:ilvl="0" w:tplc="49E65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4B71BC"/>
    <w:multiLevelType w:val="hybridMultilevel"/>
    <w:tmpl w:val="4BBA826A"/>
    <w:lvl w:ilvl="0" w:tplc="1C090001">
      <w:numFmt w:val="bullet"/>
      <w:lvlText w:val=""/>
      <w:lvlJc w:val="left"/>
      <w:pPr>
        <w:tabs>
          <w:tab w:val="num" w:pos="720"/>
        </w:tabs>
        <w:ind w:left="720" w:hanging="360"/>
      </w:pPr>
      <w:rPr>
        <w:rFonts w:ascii="Symbol" w:eastAsia="Times New Roman" w:hAnsi="Symbol" w:cs="Times New Roman"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nsid w:val="26A425CB"/>
    <w:multiLevelType w:val="hybridMultilevel"/>
    <w:tmpl w:val="19DC5F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08B7103"/>
    <w:multiLevelType w:val="hybridMultilevel"/>
    <w:tmpl w:val="C7E649AC"/>
    <w:lvl w:ilvl="0" w:tplc="16D08182">
      <w:start w:val="1"/>
      <w:numFmt w:val="lowerRoman"/>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
    <w:nsid w:val="32B2264B"/>
    <w:multiLevelType w:val="hybridMultilevel"/>
    <w:tmpl w:val="DAFA4DEA"/>
    <w:lvl w:ilvl="0" w:tplc="231C5958">
      <w:start w:val="1"/>
      <w:numFmt w:val="lowerRoman"/>
      <w:lvlText w:val="%1)"/>
      <w:lvlJc w:val="left"/>
      <w:pPr>
        <w:tabs>
          <w:tab w:val="num" w:pos="1080"/>
        </w:tabs>
        <w:ind w:left="1080" w:hanging="72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
    <w:nsid w:val="41C55A27"/>
    <w:multiLevelType w:val="hybridMultilevel"/>
    <w:tmpl w:val="9B86F1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C853CA4"/>
    <w:multiLevelType w:val="hybridMultilevel"/>
    <w:tmpl w:val="CCF0A90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E3833"/>
    <w:multiLevelType w:val="hybridMultilevel"/>
    <w:tmpl w:val="596E45F4"/>
    <w:lvl w:ilvl="0" w:tplc="DF5416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C92ABC"/>
    <w:multiLevelType w:val="hybridMultilevel"/>
    <w:tmpl w:val="EE105CC6"/>
    <w:lvl w:ilvl="0" w:tplc="539CF3C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2"/>
  </w:num>
  <w:num w:numId="4">
    <w:abstractNumId w:val="6"/>
  </w:num>
  <w:num w:numId="5">
    <w:abstractNumId w:val="11"/>
  </w:num>
  <w:num w:numId="6">
    <w:abstractNumId w:val="4"/>
  </w:num>
  <w:num w:numId="7">
    <w:abstractNumId w:val="0"/>
  </w:num>
  <w:num w:numId="8">
    <w:abstractNumId w:val="3"/>
  </w:num>
  <w:num w:numId="9">
    <w:abstractNumId w:val="10"/>
  </w:num>
  <w:num w:numId="10">
    <w:abstractNumId w:val="8"/>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2C5AEA"/>
    <w:rsid w:val="000023DC"/>
    <w:rsid w:val="00002832"/>
    <w:rsid w:val="000056D7"/>
    <w:rsid w:val="00005C3E"/>
    <w:rsid w:val="00012454"/>
    <w:rsid w:val="00014A84"/>
    <w:rsid w:val="00022549"/>
    <w:rsid w:val="00026FB6"/>
    <w:rsid w:val="00031378"/>
    <w:rsid w:val="00032DA5"/>
    <w:rsid w:val="00032E25"/>
    <w:rsid w:val="00042538"/>
    <w:rsid w:val="000446FA"/>
    <w:rsid w:val="00046D02"/>
    <w:rsid w:val="00047038"/>
    <w:rsid w:val="00052D25"/>
    <w:rsid w:val="00053E2A"/>
    <w:rsid w:val="0005605F"/>
    <w:rsid w:val="000662DF"/>
    <w:rsid w:val="00072C24"/>
    <w:rsid w:val="00073338"/>
    <w:rsid w:val="00077507"/>
    <w:rsid w:val="00083F10"/>
    <w:rsid w:val="0008425B"/>
    <w:rsid w:val="00084D77"/>
    <w:rsid w:val="00092BB5"/>
    <w:rsid w:val="000A24ED"/>
    <w:rsid w:val="000A4C17"/>
    <w:rsid w:val="000B0037"/>
    <w:rsid w:val="000B11CC"/>
    <w:rsid w:val="000B1EB5"/>
    <w:rsid w:val="000B409E"/>
    <w:rsid w:val="000C1C81"/>
    <w:rsid w:val="000C5BA3"/>
    <w:rsid w:val="000D3A94"/>
    <w:rsid w:val="000D689E"/>
    <w:rsid w:val="000E07B8"/>
    <w:rsid w:val="000E64E2"/>
    <w:rsid w:val="000F4065"/>
    <w:rsid w:val="000F77CC"/>
    <w:rsid w:val="000F7A5D"/>
    <w:rsid w:val="00105AF5"/>
    <w:rsid w:val="00105DE2"/>
    <w:rsid w:val="00107FA1"/>
    <w:rsid w:val="00113747"/>
    <w:rsid w:val="00113782"/>
    <w:rsid w:val="00115647"/>
    <w:rsid w:val="001176FA"/>
    <w:rsid w:val="00121CF1"/>
    <w:rsid w:val="00122656"/>
    <w:rsid w:val="00124A49"/>
    <w:rsid w:val="0012583A"/>
    <w:rsid w:val="001279F6"/>
    <w:rsid w:val="0013483E"/>
    <w:rsid w:val="0013687C"/>
    <w:rsid w:val="00144FBC"/>
    <w:rsid w:val="00147BF6"/>
    <w:rsid w:val="00153289"/>
    <w:rsid w:val="00157BAE"/>
    <w:rsid w:val="00160F1B"/>
    <w:rsid w:val="0016140E"/>
    <w:rsid w:val="00161A01"/>
    <w:rsid w:val="001653DF"/>
    <w:rsid w:val="00167A29"/>
    <w:rsid w:val="00170065"/>
    <w:rsid w:val="001704DF"/>
    <w:rsid w:val="00173FDA"/>
    <w:rsid w:val="00174653"/>
    <w:rsid w:val="00185BFF"/>
    <w:rsid w:val="00187EB9"/>
    <w:rsid w:val="00192597"/>
    <w:rsid w:val="00193F7B"/>
    <w:rsid w:val="001A1EEE"/>
    <w:rsid w:val="001A4094"/>
    <w:rsid w:val="001A5A40"/>
    <w:rsid w:val="001A5F04"/>
    <w:rsid w:val="001B0C9F"/>
    <w:rsid w:val="001B6FD5"/>
    <w:rsid w:val="001C1A1A"/>
    <w:rsid w:val="001C2447"/>
    <w:rsid w:val="001D3D15"/>
    <w:rsid w:val="001E1365"/>
    <w:rsid w:val="001E7DB6"/>
    <w:rsid w:val="001F0C83"/>
    <w:rsid w:val="001F15D3"/>
    <w:rsid w:val="001F43DF"/>
    <w:rsid w:val="001F5B3B"/>
    <w:rsid w:val="001F78D3"/>
    <w:rsid w:val="00200B05"/>
    <w:rsid w:val="002026D2"/>
    <w:rsid w:val="0020414A"/>
    <w:rsid w:val="00206699"/>
    <w:rsid w:val="00207A29"/>
    <w:rsid w:val="00210D3C"/>
    <w:rsid w:val="0022082E"/>
    <w:rsid w:val="002211E9"/>
    <w:rsid w:val="00224F1F"/>
    <w:rsid w:val="00232413"/>
    <w:rsid w:val="00232B3A"/>
    <w:rsid w:val="00236081"/>
    <w:rsid w:val="00236E38"/>
    <w:rsid w:val="0024182F"/>
    <w:rsid w:val="00245A8B"/>
    <w:rsid w:val="00246CD7"/>
    <w:rsid w:val="0025118F"/>
    <w:rsid w:val="0025213B"/>
    <w:rsid w:val="002522B4"/>
    <w:rsid w:val="002571F9"/>
    <w:rsid w:val="00271FCD"/>
    <w:rsid w:val="00272903"/>
    <w:rsid w:val="00273C1C"/>
    <w:rsid w:val="00281872"/>
    <w:rsid w:val="002866D4"/>
    <w:rsid w:val="00292B75"/>
    <w:rsid w:val="002974EB"/>
    <w:rsid w:val="002A5D39"/>
    <w:rsid w:val="002A6C51"/>
    <w:rsid w:val="002B4E00"/>
    <w:rsid w:val="002B6227"/>
    <w:rsid w:val="002C0225"/>
    <w:rsid w:val="002C1932"/>
    <w:rsid w:val="002C5AEA"/>
    <w:rsid w:val="002E5EA4"/>
    <w:rsid w:val="002E5FFD"/>
    <w:rsid w:val="002F6941"/>
    <w:rsid w:val="0030041F"/>
    <w:rsid w:val="00301ABD"/>
    <w:rsid w:val="0030243C"/>
    <w:rsid w:val="00303DCE"/>
    <w:rsid w:val="00306FF2"/>
    <w:rsid w:val="003134CC"/>
    <w:rsid w:val="003157F0"/>
    <w:rsid w:val="00317C8F"/>
    <w:rsid w:val="0032283A"/>
    <w:rsid w:val="003263B9"/>
    <w:rsid w:val="00327CB0"/>
    <w:rsid w:val="003417D4"/>
    <w:rsid w:val="00347EF8"/>
    <w:rsid w:val="003511F0"/>
    <w:rsid w:val="00361179"/>
    <w:rsid w:val="0036139E"/>
    <w:rsid w:val="00361ACA"/>
    <w:rsid w:val="00362CC6"/>
    <w:rsid w:val="003642D1"/>
    <w:rsid w:val="0036695C"/>
    <w:rsid w:val="00377A55"/>
    <w:rsid w:val="00380B25"/>
    <w:rsid w:val="00384147"/>
    <w:rsid w:val="003861B8"/>
    <w:rsid w:val="00387B22"/>
    <w:rsid w:val="00387FC4"/>
    <w:rsid w:val="00393567"/>
    <w:rsid w:val="00396968"/>
    <w:rsid w:val="003A5828"/>
    <w:rsid w:val="003B22D0"/>
    <w:rsid w:val="003B37FE"/>
    <w:rsid w:val="003C2BB7"/>
    <w:rsid w:val="003C38BC"/>
    <w:rsid w:val="003D2F69"/>
    <w:rsid w:val="003D3FC2"/>
    <w:rsid w:val="003E18DA"/>
    <w:rsid w:val="003E61AF"/>
    <w:rsid w:val="003E7B27"/>
    <w:rsid w:val="003F0162"/>
    <w:rsid w:val="003F10B3"/>
    <w:rsid w:val="003F2AD2"/>
    <w:rsid w:val="003F2C80"/>
    <w:rsid w:val="003F4E93"/>
    <w:rsid w:val="00405C30"/>
    <w:rsid w:val="004078A3"/>
    <w:rsid w:val="0041107D"/>
    <w:rsid w:val="0041365B"/>
    <w:rsid w:val="004257B2"/>
    <w:rsid w:val="00434215"/>
    <w:rsid w:val="00437641"/>
    <w:rsid w:val="00444371"/>
    <w:rsid w:val="00446385"/>
    <w:rsid w:val="00447C45"/>
    <w:rsid w:val="00452A2D"/>
    <w:rsid w:val="00456570"/>
    <w:rsid w:val="00464291"/>
    <w:rsid w:val="0046432B"/>
    <w:rsid w:val="00467979"/>
    <w:rsid w:val="00472807"/>
    <w:rsid w:val="00475614"/>
    <w:rsid w:val="00476171"/>
    <w:rsid w:val="004820D0"/>
    <w:rsid w:val="0048283E"/>
    <w:rsid w:val="00482C14"/>
    <w:rsid w:val="00486B65"/>
    <w:rsid w:val="00496573"/>
    <w:rsid w:val="004A6F22"/>
    <w:rsid w:val="004A7D34"/>
    <w:rsid w:val="004B196C"/>
    <w:rsid w:val="004B3CB4"/>
    <w:rsid w:val="004B4B97"/>
    <w:rsid w:val="004B4F49"/>
    <w:rsid w:val="004C2E5D"/>
    <w:rsid w:val="004C48AC"/>
    <w:rsid w:val="004C7ED3"/>
    <w:rsid w:val="004D6C4B"/>
    <w:rsid w:val="004F01D9"/>
    <w:rsid w:val="004F038B"/>
    <w:rsid w:val="004F13DE"/>
    <w:rsid w:val="004F3598"/>
    <w:rsid w:val="00506BE7"/>
    <w:rsid w:val="00507FED"/>
    <w:rsid w:val="0051267F"/>
    <w:rsid w:val="00533FF8"/>
    <w:rsid w:val="0053429C"/>
    <w:rsid w:val="005363B7"/>
    <w:rsid w:val="0054435E"/>
    <w:rsid w:val="0054641F"/>
    <w:rsid w:val="0054705A"/>
    <w:rsid w:val="00547E21"/>
    <w:rsid w:val="005556F4"/>
    <w:rsid w:val="00556E0B"/>
    <w:rsid w:val="00573F7E"/>
    <w:rsid w:val="00575AE4"/>
    <w:rsid w:val="00575CE4"/>
    <w:rsid w:val="0058047C"/>
    <w:rsid w:val="0058618B"/>
    <w:rsid w:val="00586A8D"/>
    <w:rsid w:val="00586B9C"/>
    <w:rsid w:val="00591D83"/>
    <w:rsid w:val="00596535"/>
    <w:rsid w:val="00596FC4"/>
    <w:rsid w:val="005A5419"/>
    <w:rsid w:val="005B1109"/>
    <w:rsid w:val="005B2671"/>
    <w:rsid w:val="005B33FB"/>
    <w:rsid w:val="005B3CFC"/>
    <w:rsid w:val="005B76CE"/>
    <w:rsid w:val="005B7850"/>
    <w:rsid w:val="005C02B6"/>
    <w:rsid w:val="005C23EB"/>
    <w:rsid w:val="005C3459"/>
    <w:rsid w:val="005C345B"/>
    <w:rsid w:val="005C3DA7"/>
    <w:rsid w:val="005D07F2"/>
    <w:rsid w:val="005D0937"/>
    <w:rsid w:val="005D37CE"/>
    <w:rsid w:val="005D515F"/>
    <w:rsid w:val="005E0CEC"/>
    <w:rsid w:val="005E30A8"/>
    <w:rsid w:val="005E4C00"/>
    <w:rsid w:val="005F38EF"/>
    <w:rsid w:val="005F6E8A"/>
    <w:rsid w:val="006101D2"/>
    <w:rsid w:val="0061380C"/>
    <w:rsid w:val="00613F54"/>
    <w:rsid w:val="00620AFB"/>
    <w:rsid w:val="00623C07"/>
    <w:rsid w:val="00626A92"/>
    <w:rsid w:val="006276CB"/>
    <w:rsid w:val="00636612"/>
    <w:rsid w:val="00643382"/>
    <w:rsid w:val="00644340"/>
    <w:rsid w:val="00646AC6"/>
    <w:rsid w:val="00653F26"/>
    <w:rsid w:val="006544B3"/>
    <w:rsid w:val="00655427"/>
    <w:rsid w:val="00657AA4"/>
    <w:rsid w:val="00663229"/>
    <w:rsid w:val="00665D82"/>
    <w:rsid w:val="00666298"/>
    <w:rsid w:val="00672B6A"/>
    <w:rsid w:val="00672C7A"/>
    <w:rsid w:val="0068139E"/>
    <w:rsid w:val="00681B76"/>
    <w:rsid w:val="00682DE8"/>
    <w:rsid w:val="00695BD0"/>
    <w:rsid w:val="00697FCC"/>
    <w:rsid w:val="006A0513"/>
    <w:rsid w:val="006A08E0"/>
    <w:rsid w:val="006A2BAB"/>
    <w:rsid w:val="006C27E2"/>
    <w:rsid w:val="006C5EEF"/>
    <w:rsid w:val="006C7029"/>
    <w:rsid w:val="006D0E8E"/>
    <w:rsid w:val="006D2CAB"/>
    <w:rsid w:val="006D46D0"/>
    <w:rsid w:val="006D6581"/>
    <w:rsid w:val="006D7BC9"/>
    <w:rsid w:val="006E4E70"/>
    <w:rsid w:val="006F004E"/>
    <w:rsid w:val="006F51D2"/>
    <w:rsid w:val="00711A0D"/>
    <w:rsid w:val="00714011"/>
    <w:rsid w:val="007150CC"/>
    <w:rsid w:val="007169F5"/>
    <w:rsid w:val="0072531B"/>
    <w:rsid w:val="00727336"/>
    <w:rsid w:val="007300FD"/>
    <w:rsid w:val="0073138E"/>
    <w:rsid w:val="00731C9A"/>
    <w:rsid w:val="0073577D"/>
    <w:rsid w:val="007403B8"/>
    <w:rsid w:val="0074044E"/>
    <w:rsid w:val="007425B2"/>
    <w:rsid w:val="007456DF"/>
    <w:rsid w:val="007510E2"/>
    <w:rsid w:val="00753DD5"/>
    <w:rsid w:val="00754919"/>
    <w:rsid w:val="007705E5"/>
    <w:rsid w:val="00771300"/>
    <w:rsid w:val="007761D7"/>
    <w:rsid w:val="00776F42"/>
    <w:rsid w:val="00784003"/>
    <w:rsid w:val="00791BAC"/>
    <w:rsid w:val="007A0329"/>
    <w:rsid w:val="007B4195"/>
    <w:rsid w:val="007B5D19"/>
    <w:rsid w:val="007B5E63"/>
    <w:rsid w:val="007B6F1E"/>
    <w:rsid w:val="007C13B1"/>
    <w:rsid w:val="007C22BC"/>
    <w:rsid w:val="007C3CCC"/>
    <w:rsid w:val="007C445F"/>
    <w:rsid w:val="007D04FB"/>
    <w:rsid w:val="007D0731"/>
    <w:rsid w:val="007D4DB3"/>
    <w:rsid w:val="007D5B94"/>
    <w:rsid w:val="007D777F"/>
    <w:rsid w:val="007E1E1A"/>
    <w:rsid w:val="007E319E"/>
    <w:rsid w:val="007E5481"/>
    <w:rsid w:val="007F0F8D"/>
    <w:rsid w:val="007F2EF3"/>
    <w:rsid w:val="007F5FC4"/>
    <w:rsid w:val="008005D9"/>
    <w:rsid w:val="008104EC"/>
    <w:rsid w:val="00812F64"/>
    <w:rsid w:val="00813C37"/>
    <w:rsid w:val="00815CB0"/>
    <w:rsid w:val="00827492"/>
    <w:rsid w:val="008301BF"/>
    <w:rsid w:val="00830AC2"/>
    <w:rsid w:val="0083153F"/>
    <w:rsid w:val="00837747"/>
    <w:rsid w:val="0084188A"/>
    <w:rsid w:val="00850F28"/>
    <w:rsid w:val="00852447"/>
    <w:rsid w:val="00854460"/>
    <w:rsid w:val="00854DB5"/>
    <w:rsid w:val="00854E01"/>
    <w:rsid w:val="00854E29"/>
    <w:rsid w:val="00863212"/>
    <w:rsid w:val="008663C3"/>
    <w:rsid w:val="008707BE"/>
    <w:rsid w:val="008713A1"/>
    <w:rsid w:val="00871A5D"/>
    <w:rsid w:val="0087286B"/>
    <w:rsid w:val="008753FC"/>
    <w:rsid w:val="008834A6"/>
    <w:rsid w:val="00883BA9"/>
    <w:rsid w:val="00885C14"/>
    <w:rsid w:val="0088671D"/>
    <w:rsid w:val="00892715"/>
    <w:rsid w:val="00895F85"/>
    <w:rsid w:val="00896935"/>
    <w:rsid w:val="008B62CB"/>
    <w:rsid w:val="008C0966"/>
    <w:rsid w:val="008D3C85"/>
    <w:rsid w:val="008D5F15"/>
    <w:rsid w:val="008D791C"/>
    <w:rsid w:val="008D7CF4"/>
    <w:rsid w:val="008E0680"/>
    <w:rsid w:val="008E3463"/>
    <w:rsid w:val="008E396F"/>
    <w:rsid w:val="008E7549"/>
    <w:rsid w:val="008E7DE1"/>
    <w:rsid w:val="008F4E0B"/>
    <w:rsid w:val="00901112"/>
    <w:rsid w:val="00901B86"/>
    <w:rsid w:val="00901F5E"/>
    <w:rsid w:val="00903D0D"/>
    <w:rsid w:val="009050A1"/>
    <w:rsid w:val="0090686E"/>
    <w:rsid w:val="00911AEF"/>
    <w:rsid w:val="0091292E"/>
    <w:rsid w:val="00912C45"/>
    <w:rsid w:val="00912E23"/>
    <w:rsid w:val="0092203A"/>
    <w:rsid w:val="009236B4"/>
    <w:rsid w:val="00924B78"/>
    <w:rsid w:val="00925092"/>
    <w:rsid w:val="009308BE"/>
    <w:rsid w:val="00935CA9"/>
    <w:rsid w:val="00936F79"/>
    <w:rsid w:val="00951DD2"/>
    <w:rsid w:val="00952FD4"/>
    <w:rsid w:val="00953029"/>
    <w:rsid w:val="009541CA"/>
    <w:rsid w:val="00957B1A"/>
    <w:rsid w:val="00962483"/>
    <w:rsid w:val="009665EA"/>
    <w:rsid w:val="009678EB"/>
    <w:rsid w:val="00975541"/>
    <w:rsid w:val="0098267A"/>
    <w:rsid w:val="00983C3D"/>
    <w:rsid w:val="009A63AD"/>
    <w:rsid w:val="009A7431"/>
    <w:rsid w:val="009B7134"/>
    <w:rsid w:val="009D0C0D"/>
    <w:rsid w:val="009D1DAF"/>
    <w:rsid w:val="009D27EF"/>
    <w:rsid w:val="009D47B9"/>
    <w:rsid w:val="009D570C"/>
    <w:rsid w:val="009E334E"/>
    <w:rsid w:val="009E6262"/>
    <w:rsid w:val="009E75D5"/>
    <w:rsid w:val="009F105A"/>
    <w:rsid w:val="009F2519"/>
    <w:rsid w:val="00A0061B"/>
    <w:rsid w:val="00A008C1"/>
    <w:rsid w:val="00A05BDF"/>
    <w:rsid w:val="00A06E98"/>
    <w:rsid w:val="00A074C3"/>
    <w:rsid w:val="00A243A6"/>
    <w:rsid w:val="00A3599C"/>
    <w:rsid w:val="00A35C36"/>
    <w:rsid w:val="00A44BBA"/>
    <w:rsid w:val="00A45B48"/>
    <w:rsid w:val="00A4649F"/>
    <w:rsid w:val="00A508C4"/>
    <w:rsid w:val="00A50EC6"/>
    <w:rsid w:val="00A53349"/>
    <w:rsid w:val="00A5348F"/>
    <w:rsid w:val="00A546BC"/>
    <w:rsid w:val="00A548D7"/>
    <w:rsid w:val="00A6042B"/>
    <w:rsid w:val="00A70833"/>
    <w:rsid w:val="00A72A26"/>
    <w:rsid w:val="00A72F5B"/>
    <w:rsid w:val="00A74047"/>
    <w:rsid w:val="00A74A11"/>
    <w:rsid w:val="00A8259B"/>
    <w:rsid w:val="00A93F04"/>
    <w:rsid w:val="00A95086"/>
    <w:rsid w:val="00A97F59"/>
    <w:rsid w:val="00AA1660"/>
    <w:rsid w:val="00AA28F2"/>
    <w:rsid w:val="00AA5787"/>
    <w:rsid w:val="00AB7148"/>
    <w:rsid w:val="00AB7E2E"/>
    <w:rsid w:val="00AC7CD9"/>
    <w:rsid w:val="00AD2F0C"/>
    <w:rsid w:val="00AD371B"/>
    <w:rsid w:val="00AD3D72"/>
    <w:rsid w:val="00AE0304"/>
    <w:rsid w:val="00AE07EC"/>
    <w:rsid w:val="00AE6BBD"/>
    <w:rsid w:val="00AE7DFE"/>
    <w:rsid w:val="00AF6FBF"/>
    <w:rsid w:val="00B0353D"/>
    <w:rsid w:val="00B0406E"/>
    <w:rsid w:val="00B04A4F"/>
    <w:rsid w:val="00B123E1"/>
    <w:rsid w:val="00B138D5"/>
    <w:rsid w:val="00B15EB7"/>
    <w:rsid w:val="00B22585"/>
    <w:rsid w:val="00B36C5C"/>
    <w:rsid w:val="00B40C10"/>
    <w:rsid w:val="00B40CEC"/>
    <w:rsid w:val="00B432D2"/>
    <w:rsid w:val="00B46835"/>
    <w:rsid w:val="00B469D0"/>
    <w:rsid w:val="00B54920"/>
    <w:rsid w:val="00B55312"/>
    <w:rsid w:val="00B60561"/>
    <w:rsid w:val="00B62D35"/>
    <w:rsid w:val="00B64C0E"/>
    <w:rsid w:val="00B64C4A"/>
    <w:rsid w:val="00B65BA2"/>
    <w:rsid w:val="00B7034A"/>
    <w:rsid w:val="00B71428"/>
    <w:rsid w:val="00B73E8C"/>
    <w:rsid w:val="00B76863"/>
    <w:rsid w:val="00B77674"/>
    <w:rsid w:val="00B85564"/>
    <w:rsid w:val="00B86BD7"/>
    <w:rsid w:val="00B928F8"/>
    <w:rsid w:val="00B944C5"/>
    <w:rsid w:val="00B95F8D"/>
    <w:rsid w:val="00B96911"/>
    <w:rsid w:val="00BB3281"/>
    <w:rsid w:val="00BB5E69"/>
    <w:rsid w:val="00BB6B40"/>
    <w:rsid w:val="00BC219E"/>
    <w:rsid w:val="00BC330D"/>
    <w:rsid w:val="00BC4295"/>
    <w:rsid w:val="00BC444D"/>
    <w:rsid w:val="00BC4E50"/>
    <w:rsid w:val="00BC78C2"/>
    <w:rsid w:val="00BD2D87"/>
    <w:rsid w:val="00BD6E3A"/>
    <w:rsid w:val="00BD7FFA"/>
    <w:rsid w:val="00BE03C9"/>
    <w:rsid w:val="00BE065F"/>
    <w:rsid w:val="00BE0E25"/>
    <w:rsid w:val="00BE2AF2"/>
    <w:rsid w:val="00BE4830"/>
    <w:rsid w:val="00BF0870"/>
    <w:rsid w:val="00BF24EA"/>
    <w:rsid w:val="00BF5B06"/>
    <w:rsid w:val="00C019EF"/>
    <w:rsid w:val="00C058B7"/>
    <w:rsid w:val="00C06B7F"/>
    <w:rsid w:val="00C16D83"/>
    <w:rsid w:val="00C21405"/>
    <w:rsid w:val="00C22AA0"/>
    <w:rsid w:val="00C32CDD"/>
    <w:rsid w:val="00C35763"/>
    <w:rsid w:val="00C37D10"/>
    <w:rsid w:val="00C42C7A"/>
    <w:rsid w:val="00C46BAF"/>
    <w:rsid w:val="00C61843"/>
    <w:rsid w:val="00C636F3"/>
    <w:rsid w:val="00C6494D"/>
    <w:rsid w:val="00C64F55"/>
    <w:rsid w:val="00C6531B"/>
    <w:rsid w:val="00C6611D"/>
    <w:rsid w:val="00C753FF"/>
    <w:rsid w:val="00C75487"/>
    <w:rsid w:val="00C804FF"/>
    <w:rsid w:val="00C81E0E"/>
    <w:rsid w:val="00C866B7"/>
    <w:rsid w:val="00C86F1F"/>
    <w:rsid w:val="00C87BC3"/>
    <w:rsid w:val="00C87D88"/>
    <w:rsid w:val="00C9543C"/>
    <w:rsid w:val="00C979B4"/>
    <w:rsid w:val="00C97BF0"/>
    <w:rsid w:val="00CA1036"/>
    <w:rsid w:val="00CA147B"/>
    <w:rsid w:val="00CA22AB"/>
    <w:rsid w:val="00CA5356"/>
    <w:rsid w:val="00CB037F"/>
    <w:rsid w:val="00CB256E"/>
    <w:rsid w:val="00CB259B"/>
    <w:rsid w:val="00CC1473"/>
    <w:rsid w:val="00CC1F96"/>
    <w:rsid w:val="00CC6A5C"/>
    <w:rsid w:val="00CD2EB3"/>
    <w:rsid w:val="00CE0A70"/>
    <w:rsid w:val="00CE4B46"/>
    <w:rsid w:val="00CE54D3"/>
    <w:rsid w:val="00CF03D3"/>
    <w:rsid w:val="00CF7A05"/>
    <w:rsid w:val="00D00574"/>
    <w:rsid w:val="00D03DF5"/>
    <w:rsid w:val="00D1109E"/>
    <w:rsid w:val="00D11DC8"/>
    <w:rsid w:val="00D13D9D"/>
    <w:rsid w:val="00D1566F"/>
    <w:rsid w:val="00D17028"/>
    <w:rsid w:val="00D20F1E"/>
    <w:rsid w:val="00D21BCC"/>
    <w:rsid w:val="00D2228B"/>
    <w:rsid w:val="00D24687"/>
    <w:rsid w:val="00D27202"/>
    <w:rsid w:val="00D27554"/>
    <w:rsid w:val="00D30716"/>
    <w:rsid w:val="00D34730"/>
    <w:rsid w:val="00D34FA0"/>
    <w:rsid w:val="00D40374"/>
    <w:rsid w:val="00D425F8"/>
    <w:rsid w:val="00D43C92"/>
    <w:rsid w:val="00D51EA2"/>
    <w:rsid w:val="00D54058"/>
    <w:rsid w:val="00D603EB"/>
    <w:rsid w:val="00D64BF9"/>
    <w:rsid w:val="00D66B1E"/>
    <w:rsid w:val="00D72DF9"/>
    <w:rsid w:val="00D73E63"/>
    <w:rsid w:val="00D81711"/>
    <w:rsid w:val="00D81C7B"/>
    <w:rsid w:val="00D9772A"/>
    <w:rsid w:val="00DA109B"/>
    <w:rsid w:val="00DA1169"/>
    <w:rsid w:val="00DA1729"/>
    <w:rsid w:val="00DA182B"/>
    <w:rsid w:val="00DA4D73"/>
    <w:rsid w:val="00DB06A1"/>
    <w:rsid w:val="00DB2031"/>
    <w:rsid w:val="00DB3648"/>
    <w:rsid w:val="00DB50C3"/>
    <w:rsid w:val="00DB58DF"/>
    <w:rsid w:val="00DB703E"/>
    <w:rsid w:val="00DC2E1C"/>
    <w:rsid w:val="00DC3E8B"/>
    <w:rsid w:val="00DC5681"/>
    <w:rsid w:val="00DC572A"/>
    <w:rsid w:val="00DD20C0"/>
    <w:rsid w:val="00DD3F83"/>
    <w:rsid w:val="00DD58DA"/>
    <w:rsid w:val="00DD763B"/>
    <w:rsid w:val="00DF0A3B"/>
    <w:rsid w:val="00DF0B18"/>
    <w:rsid w:val="00DF2CFC"/>
    <w:rsid w:val="00DF60A1"/>
    <w:rsid w:val="00E0628A"/>
    <w:rsid w:val="00E066E9"/>
    <w:rsid w:val="00E06E03"/>
    <w:rsid w:val="00E072AB"/>
    <w:rsid w:val="00E112E6"/>
    <w:rsid w:val="00E11692"/>
    <w:rsid w:val="00E1653E"/>
    <w:rsid w:val="00E211A7"/>
    <w:rsid w:val="00E21F36"/>
    <w:rsid w:val="00E259A7"/>
    <w:rsid w:val="00E328EB"/>
    <w:rsid w:val="00E34C33"/>
    <w:rsid w:val="00E35256"/>
    <w:rsid w:val="00E36F9C"/>
    <w:rsid w:val="00E37472"/>
    <w:rsid w:val="00E429A1"/>
    <w:rsid w:val="00E442EF"/>
    <w:rsid w:val="00E44C8A"/>
    <w:rsid w:val="00E50CF2"/>
    <w:rsid w:val="00E52654"/>
    <w:rsid w:val="00E5266F"/>
    <w:rsid w:val="00E53093"/>
    <w:rsid w:val="00E54DC0"/>
    <w:rsid w:val="00E56826"/>
    <w:rsid w:val="00E6091C"/>
    <w:rsid w:val="00E65B58"/>
    <w:rsid w:val="00E671CB"/>
    <w:rsid w:val="00E67B99"/>
    <w:rsid w:val="00E71B20"/>
    <w:rsid w:val="00E81A61"/>
    <w:rsid w:val="00E91EA4"/>
    <w:rsid w:val="00E956A5"/>
    <w:rsid w:val="00EA2555"/>
    <w:rsid w:val="00EA3481"/>
    <w:rsid w:val="00EA5234"/>
    <w:rsid w:val="00EA7CA6"/>
    <w:rsid w:val="00EB00B1"/>
    <w:rsid w:val="00EB7B36"/>
    <w:rsid w:val="00EC2F95"/>
    <w:rsid w:val="00ED06DE"/>
    <w:rsid w:val="00ED4137"/>
    <w:rsid w:val="00ED447F"/>
    <w:rsid w:val="00ED4A7A"/>
    <w:rsid w:val="00EE1A1B"/>
    <w:rsid w:val="00EF4C01"/>
    <w:rsid w:val="00EF7D92"/>
    <w:rsid w:val="00F05C47"/>
    <w:rsid w:val="00F30EE8"/>
    <w:rsid w:val="00F335C5"/>
    <w:rsid w:val="00F417E7"/>
    <w:rsid w:val="00F44CB1"/>
    <w:rsid w:val="00F464D6"/>
    <w:rsid w:val="00F54285"/>
    <w:rsid w:val="00F56D67"/>
    <w:rsid w:val="00F6148A"/>
    <w:rsid w:val="00F63CB5"/>
    <w:rsid w:val="00F645C7"/>
    <w:rsid w:val="00F661A4"/>
    <w:rsid w:val="00F70384"/>
    <w:rsid w:val="00F7120A"/>
    <w:rsid w:val="00F745D1"/>
    <w:rsid w:val="00F779BB"/>
    <w:rsid w:val="00F80267"/>
    <w:rsid w:val="00F81B1C"/>
    <w:rsid w:val="00F85B49"/>
    <w:rsid w:val="00F93929"/>
    <w:rsid w:val="00F95123"/>
    <w:rsid w:val="00F97C2A"/>
    <w:rsid w:val="00FB1021"/>
    <w:rsid w:val="00FB2EB8"/>
    <w:rsid w:val="00FB465A"/>
    <w:rsid w:val="00FC22E1"/>
    <w:rsid w:val="00FC4319"/>
    <w:rsid w:val="00FD77AD"/>
    <w:rsid w:val="00FE0F2C"/>
    <w:rsid w:val="00FE5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5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0D"/>
    <w:rPr>
      <w:sz w:val="22"/>
      <w:szCs w:val="24"/>
      <w:lang w:val="en-GB"/>
    </w:rPr>
  </w:style>
  <w:style w:type="paragraph" w:styleId="Heading1">
    <w:name w:val="heading 1"/>
    <w:basedOn w:val="Normal"/>
    <w:next w:val="Normal"/>
    <w:qFormat/>
    <w:rsid w:val="00711A0D"/>
    <w:pPr>
      <w:keepNext/>
      <w:spacing w:line="360" w:lineRule="auto"/>
      <w:outlineLvl w:val="0"/>
    </w:pPr>
    <w:rPr>
      <w:szCs w:val="20"/>
      <w:u w:val="single"/>
    </w:rPr>
  </w:style>
  <w:style w:type="paragraph" w:styleId="Heading2">
    <w:name w:val="heading 2"/>
    <w:basedOn w:val="Normal"/>
    <w:next w:val="Normal"/>
    <w:link w:val="Heading2Char"/>
    <w:qFormat/>
    <w:rsid w:val="00711A0D"/>
    <w:pPr>
      <w:keepNext/>
      <w:spacing w:line="360" w:lineRule="auto"/>
      <w:outlineLvl w:val="1"/>
    </w:pPr>
    <w:rPr>
      <w:rFonts w:cs="Arial"/>
      <w:b/>
      <w:bCs/>
      <w:iCs/>
      <w:szCs w:val="28"/>
    </w:rPr>
  </w:style>
  <w:style w:type="paragraph" w:styleId="Heading3">
    <w:name w:val="heading 3"/>
    <w:aliases w:val=" Char"/>
    <w:basedOn w:val="Normal"/>
    <w:next w:val="Normal"/>
    <w:link w:val="Heading3Char"/>
    <w:qFormat/>
    <w:rsid w:val="00711A0D"/>
    <w:pPr>
      <w:keepNext/>
      <w:spacing w:line="360" w:lineRule="auto"/>
      <w:jc w:val="both"/>
      <w:outlineLvl w:val="2"/>
    </w:pPr>
    <w:rPr>
      <w:i/>
      <w:szCs w:val="20"/>
    </w:rPr>
  </w:style>
  <w:style w:type="paragraph" w:styleId="Heading4">
    <w:name w:val="heading 4"/>
    <w:basedOn w:val="Normal"/>
    <w:next w:val="Normal"/>
    <w:qFormat/>
    <w:rsid w:val="00711A0D"/>
    <w:pPr>
      <w:keepNext/>
      <w:jc w:val="both"/>
      <w:outlineLvl w:val="3"/>
    </w:pPr>
    <w:rPr>
      <w:i/>
      <w:szCs w:val="20"/>
      <w:lang w:val="en-US"/>
    </w:rPr>
  </w:style>
  <w:style w:type="paragraph" w:styleId="Heading5">
    <w:name w:val="heading 5"/>
    <w:basedOn w:val="Normal"/>
    <w:next w:val="Normal"/>
    <w:qFormat/>
    <w:rsid w:val="00711A0D"/>
    <w:pPr>
      <w:keepNext/>
      <w:spacing w:line="360" w:lineRule="auto"/>
      <w:jc w:val="center"/>
      <w:outlineLvl w:val="4"/>
    </w:pPr>
    <w:rPr>
      <w:b/>
      <w:szCs w:val="20"/>
    </w:rPr>
  </w:style>
  <w:style w:type="paragraph" w:styleId="Heading6">
    <w:name w:val="heading 6"/>
    <w:basedOn w:val="Normal"/>
    <w:next w:val="Normal"/>
    <w:qFormat/>
    <w:rsid w:val="00711A0D"/>
    <w:pPr>
      <w:keepNext/>
      <w:jc w:val="both"/>
      <w:outlineLvl w:val="5"/>
    </w:pPr>
    <w:rPr>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1A0D"/>
    <w:pPr>
      <w:tabs>
        <w:tab w:val="left" w:pos="1134"/>
        <w:tab w:val="left" w:pos="3119"/>
        <w:tab w:val="right" w:pos="9356"/>
      </w:tabs>
      <w:spacing w:line="360" w:lineRule="auto"/>
      <w:jc w:val="both"/>
    </w:pPr>
    <w:rPr>
      <w:szCs w:val="20"/>
    </w:rPr>
  </w:style>
  <w:style w:type="character" w:styleId="FootnoteReference">
    <w:name w:val="footnote reference"/>
    <w:basedOn w:val="DefaultParagraphFont"/>
    <w:uiPriority w:val="99"/>
    <w:semiHidden/>
    <w:rsid w:val="00711A0D"/>
    <w:rPr>
      <w:vertAlign w:val="superscript"/>
    </w:rPr>
  </w:style>
  <w:style w:type="paragraph" w:styleId="Footer">
    <w:name w:val="footer"/>
    <w:basedOn w:val="Normal"/>
    <w:link w:val="FooterChar"/>
    <w:uiPriority w:val="99"/>
    <w:rsid w:val="00711A0D"/>
    <w:pPr>
      <w:tabs>
        <w:tab w:val="center" w:pos="4320"/>
        <w:tab w:val="right" w:pos="8640"/>
      </w:tabs>
    </w:pPr>
    <w:rPr>
      <w:szCs w:val="20"/>
    </w:rPr>
  </w:style>
  <w:style w:type="paragraph" w:styleId="BodyText2">
    <w:name w:val="Body Text 2"/>
    <w:basedOn w:val="Normal"/>
    <w:rsid w:val="00711A0D"/>
    <w:pPr>
      <w:tabs>
        <w:tab w:val="left" w:pos="9000"/>
      </w:tabs>
      <w:spacing w:line="360" w:lineRule="auto"/>
      <w:ind w:left="1134" w:hanging="1134"/>
      <w:jc w:val="both"/>
    </w:pPr>
    <w:rPr>
      <w:szCs w:val="20"/>
    </w:rPr>
  </w:style>
  <w:style w:type="paragraph" w:styleId="FootnoteText">
    <w:name w:val="footnote text"/>
    <w:basedOn w:val="Normal"/>
    <w:link w:val="FootnoteTextChar"/>
    <w:uiPriority w:val="99"/>
    <w:semiHidden/>
    <w:rsid w:val="00711A0D"/>
    <w:pPr>
      <w:keepLines/>
      <w:spacing w:after="120"/>
    </w:pPr>
    <w:rPr>
      <w:sz w:val="20"/>
      <w:szCs w:val="20"/>
    </w:rPr>
  </w:style>
  <w:style w:type="paragraph" w:styleId="Header">
    <w:name w:val="header"/>
    <w:basedOn w:val="Normal"/>
    <w:link w:val="HeaderChar"/>
    <w:rsid w:val="00711A0D"/>
    <w:pPr>
      <w:tabs>
        <w:tab w:val="center" w:pos="4320"/>
        <w:tab w:val="right" w:pos="8640"/>
      </w:tabs>
      <w:spacing w:line="360" w:lineRule="auto"/>
      <w:jc w:val="center"/>
    </w:pPr>
    <w:rPr>
      <w:b/>
      <w:sz w:val="28"/>
      <w:szCs w:val="20"/>
    </w:rPr>
  </w:style>
  <w:style w:type="paragraph" w:styleId="BodyTextIndent">
    <w:name w:val="Body Text Indent"/>
    <w:basedOn w:val="Normal"/>
    <w:rsid w:val="00711A0D"/>
    <w:pPr>
      <w:tabs>
        <w:tab w:val="right" w:pos="9630"/>
      </w:tabs>
      <w:ind w:left="2520"/>
    </w:pPr>
    <w:rPr>
      <w:szCs w:val="20"/>
    </w:rPr>
  </w:style>
  <w:style w:type="character" w:styleId="PageNumber">
    <w:name w:val="page number"/>
    <w:basedOn w:val="DefaultParagraphFont"/>
    <w:rsid w:val="00711A0D"/>
  </w:style>
  <w:style w:type="character" w:styleId="Hyperlink">
    <w:name w:val="Hyperlink"/>
    <w:basedOn w:val="DefaultParagraphFont"/>
    <w:rsid w:val="00711A0D"/>
    <w:rPr>
      <w:color w:val="0000FF"/>
      <w:u w:val="single"/>
    </w:rPr>
  </w:style>
  <w:style w:type="paragraph" w:customStyle="1" w:styleId="StyleHeading1">
    <w:name w:val="Style Heading 1 +"/>
    <w:basedOn w:val="Heading1"/>
    <w:rsid w:val="00711A0D"/>
    <w:pPr>
      <w:jc w:val="both"/>
    </w:pPr>
    <w:rPr>
      <w:rFonts w:cs="Arial"/>
      <w:bCs/>
      <w:szCs w:val="32"/>
      <w:lang w:eastAsia="en-GB"/>
    </w:rPr>
  </w:style>
  <w:style w:type="character" w:styleId="FollowedHyperlink">
    <w:name w:val="FollowedHyperlink"/>
    <w:basedOn w:val="DefaultParagraphFont"/>
    <w:rsid w:val="00711A0D"/>
    <w:rPr>
      <w:color w:val="800080"/>
      <w:u w:val="single"/>
    </w:rPr>
  </w:style>
  <w:style w:type="character" w:styleId="CommentReference">
    <w:name w:val="annotation reference"/>
    <w:basedOn w:val="DefaultParagraphFont"/>
    <w:semiHidden/>
    <w:rsid w:val="00361ACA"/>
    <w:rPr>
      <w:sz w:val="16"/>
      <w:szCs w:val="16"/>
    </w:rPr>
  </w:style>
  <w:style w:type="paragraph" w:styleId="CommentText">
    <w:name w:val="annotation text"/>
    <w:basedOn w:val="Normal"/>
    <w:semiHidden/>
    <w:rsid w:val="00361ACA"/>
    <w:rPr>
      <w:sz w:val="20"/>
      <w:szCs w:val="20"/>
    </w:rPr>
  </w:style>
  <w:style w:type="paragraph" w:styleId="CommentSubject">
    <w:name w:val="annotation subject"/>
    <w:basedOn w:val="CommentText"/>
    <w:next w:val="CommentText"/>
    <w:semiHidden/>
    <w:rsid w:val="00361ACA"/>
    <w:rPr>
      <w:b/>
      <w:bCs/>
    </w:rPr>
  </w:style>
  <w:style w:type="paragraph" w:styleId="BalloonText">
    <w:name w:val="Balloon Text"/>
    <w:basedOn w:val="Normal"/>
    <w:semiHidden/>
    <w:rsid w:val="00361ACA"/>
    <w:rPr>
      <w:rFonts w:ascii="Tahoma" w:hAnsi="Tahoma" w:cs="Tahoma"/>
      <w:sz w:val="16"/>
      <w:szCs w:val="16"/>
    </w:rPr>
  </w:style>
  <w:style w:type="table" w:styleId="TableGrid">
    <w:name w:val="Table Grid"/>
    <w:basedOn w:val="TableNormal"/>
    <w:rsid w:val="00620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 Char Char"/>
    <w:basedOn w:val="DefaultParagraphFont"/>
    <w:link w:val="Heading3"/>
    <w:rsid w:val="007F5FC4"/>
    <w:rPr>
      <w:i/>
      <w:sz w:val="22"/>
      <w:lang w:val="en-GB" w:eastAsia="en-US" w:bidi="ar-SA"/>
    </w:rPr>
  </w:style>
  <w:style w:type="character" w:customStyle="1" w:styleId="HeaderChar">
    <w:name w:val="Header Char"/>
    <w:basedOn w:val="DefaultParagraphFont"/>
    <w:link w:val="Header"/>
    <w:uiPriority w:val="99"/>
    <w:rsid w:val="00E21F36"/>
    <w:rPr>
      <w:b/>
      <w:sz w:val="28"/>
      <w:lang w:val="en-GB"/>
    </w:rPr>
  </w:style>
  <w:style w:type="character" w:customStyle="1" w:styleId="FootnoteTextChar">
    <w:name w:val="Footnote Text Char"/>
    <w:basedOn w:val="DefaultParagraphFont"/>
    <w:link w:val="FootnoteText"/>
    <w:uiPriority w:val="99"/>
    <w:semiHidden/>
    <w:locked/>
    <w:rsid w:val="00E21F36"/>
    <w:rPr>
      <w:lang w:val="en-GB"/>
    </w:rPr>
  </w:style>
  <w:style w:type="character" w:customStyle="1" w:styleId="FooterChar">
    <w:name w:val="Footer Char"/>
    <w:basedOn w:val="DefaultParagraphFont"/>
    <w:link w:val="Footer"/>
    <w:uiPriority w:val="99"/>
    <w:rsid w:val="00FB2EB8"/>
    <w:rPr>
      <w:sz w:val="22"/>
      <w:lang w:val="en-GB"/>
    </w:rPr>
  </w:style>
  <w:style w:type="character" w:customStyle="1" w:styleId="Heading2Char">
    <w:name w:val="Heading 2 Char"/>
    <w:basedOn w:val="DefaultParagraphFont"/>
    <w:link w:val="Heading2"/>
    <w:rsid w:val="000F77CC"/>
    <w:rPr>
      <w:rFonts w:cs="Arial"/>
      <w:b/>
      <w:bCs/>
      <w:iCs/>
      <w:sz w:val="22"/>
      <w:szCs w:val="28"/>
      <w:lang w:val="en-GB"/>
    </w:rPr>
  </w:style>
  <w:style w:type="character" w:customStyle="1" w:styleId="BodyTextChar">
    <w:name w:val="Body Text Char"/>
    <w:basedOn w:val="DefaultParagraphFont"/>
    <w:link w:val="BodyText"/>
    <w:rsid w:val="000F77CC"/>
    <w:rPr>
      <w:sz w:val="22"/>
      <w:lang w:val="en-GB"/>
    </w:rPr>
  </w:style>
</w:styles>
</file>

<file path=word/webSettings.xml><?xml version="1.0" encoding="utf-8"?>
<w:webSettings xmlns:r="http://schemas.openxmlformats.org/officeDocument/2006/relationships" xmlns:w="http://schemas.openxmlformats.org/wordprocessingml/2006/main">
  <w:divs>
    <w:div w:id="212507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image" Target="media/image14.emf"/><Relationship Id="rId39" Type="http://schemas.openxmlformats.org/officeDocument/2006/relationships/oleObject" Target="embeddings/oleObject10.bin"/><Relationship Id="rId21" Type="http://schemas.openxmlformats.org/officeDocument/2006/relationships/image" Target="media/image9.png"/><Relationship Id="rId34" Type="http://schemas.openxmlformats.org/officeDocument/2006/relationships/image" Target="media/image18.wmf"/><Relationship Id="rId42" Type="http://schemas.openxmlformats.org/officeDocument/2006/relationships/oleObject" Target="embeddings/oleObject12.bin"/><Relationship Id="rId47" Type="http://schemas.openxmlformats.org/officeDocument/2006/relationships/oleObject" Target="embeddings/oleObject15.bin"/><Relationship Id="rId50" Type="http://schemas.openxmlformats.org/officeDocument/2006/relationships/image" Target="media/image25.wmf"/><Relationship Id="rId55" Type="http://schemas.openxmlformats.org/officeDocument/2006/relationships/image" Target="media/image27.wmf"/><Relationship Id="rId63" Type="http://schemas.openxmlformats.org/officeDocument/2006/relationships/image" Target="media/image28.emf"/><Relationship Id="rId68" Type="http://schemas.openxmlformats.org/officeDocument/2006/relationships/image" Target="media/image31.e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4.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hyperlink" Target="mailto:carryn.demoor@uct.ac.za" TargetMode="External"/><Relationship Id="rId11" Type="http://schemas.openxmlformats.org/officeDocument/2006/relationships/oleObject" Target="embeddings/oleObject1.bin"/><Relationship Id="rId24" Type="http://schemas.openxmlformats.org/officeDocument/2006/relationships/image" Target="media/image12.emf"/><Relationship Id="rId32" Type="http://schemas.openxmlformats.org/officeDocument/2006/relationships/oleObject" Target="embeddings/oleObject6.bin"/><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oleObject" Target="embeddings/oleObject14.bin"/><Relationship Id="rId53" Type="http://schemas.openxmlformats.org/officeDocument/2006/relationships/image" Target="media/image26.wmf"/><Relationship Id="rId58" Type="http://schemas.openxmlformats.org/officeDocument/2006/relationships/oleObject" Target="embeddings/oleObject22.bin"/><Relationship Id="rId66" Type="http://schemas.openxmlformats.org/officeDocument/2006/relationships/image" Target="media/image30.wmf"/><Relationship Id="rId7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19.wmf"/><Relationship Id="rId49" Type="http://schemas.openxmlformats.org/officeDocument/2006/relationships/oleObject" Target="embeddings/oleObject16.bin"/><Relationship Id="rId57" Type="http://schemas.openxmlformats.org/officeDocument/2006/relationships/oleObject" Target="embeddings/oleObject21.bin"/><Relationship Id="rId61" Type="http://schemas.openxmlformats.org/officeDocument/2006/relationships/oleObject" Target="embeddings/oleObject25.bin"/><Relationship Id="rId10" Type="http://schemas.openxmlformats.org/officeDocument/2006/relationships/image" Target="media/image2.wmf"/><Relationship Id="rId19" Type="http://schemas.openxmlformats.org/officeDocument/2006/relationships/image" Target="media/image7.png"/><Relationship Id="rId31" Type="http://schemas.openxmlformats.org/officeDocument/2006/relationships/oleObject" Target="embeddings/oleObject5.bin"/><Relationship Id="rId44" Type="http://schemas.openxmlformats.org/officeDocument/2006/relationships/oleObject" Target="embeddings/oleObject13.bin"/><Relationship Id="rId52" Type="http://schemas.openxmlformats.org/officeDocument/2006/relationships/oleObject" Target="embeddings/oleObject18.bin"/><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ryn.demoor@uct.ac.za" TargetMode="External"/><Relationship Id="rId14" Type="http://schemas.openxmlformats.org/officeDocument/2006/relationships/image" Target="media/image4.w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7.wmf"/><Relationship Id="rId35" Type="http://schemas.openxmlformats.org/officeDocument/2006/relationships/oleObject" Target="embeddings/oleObject8.bin"/><Relationship Id="rId43" Type="http://schemas.openxmlformats.org/officeDocument/2006/relationships/image" Target="media/image22.wmf"/><Relationship Id="rId48" Type="http://schemas.openxmlformats.org/officeDocument/2006/relationships/image" Target="media/image24.wmf"/><Relationship Id="rId56" Type="http://schemas.openxmlformats.org/officeDocument/2006/relationships/oleObject" Target="embeddings/oleObject20.bin"/><Relationship Id="rId64" Type="http://schemas.openxmlformats.org/officeDocument/2006/relationships/image" Target="media/image29.wmf"/><Relationship Id="rId69" Type="http://schemas.openxmlformats.org/officeDocument/2006/relationships/image" Target="media/image32.emf"/><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3.emf"/><Relationship Id="rId33" Type="http://schemas.openxmlformats.org/officeDocument/2006/relationships/oleObject" Target="embeddings/oleObject7.bin"/><Relationship Id="rId38" Type="http://schemas.openxmlformats.org/officeDocument/2006/relationships/image" Target="media/image20.wmf"/><Relationship Id="rId46" Type="http://schemas.openxmlformats.org/officeDocument/2006/relationships/image" Target="media/image23.wmf"/><Relationship Id="rId59" Type="http://schemas.openxmlformats.org/officeDocument/2006/relationships/oleObject" Target="embeddings/oleObject23.bin"/><Relationship Id="rId67" Type="http://schemas.openxmlformats.org/officeDocument/2006/relationships/oleObject" Target="embeddings/oleObject28.bin"/><Relationship Id="rId20" Type="http://schemas.openxmlformats.org/officeDocument/2006/relationships/image" Target="media/image8.png"/><Relationship Id="rId41" Type="http://schemas.openxmlformats.org/officeDocument/2006/relationships/image" Target="media/image21.wmf"/><Relationship Id="rId54" Type="http://schemas.openxmlformats.org/officeDocument/2006/relationships/oleObject" Target="embeddings/oleObject19.bin"/><Relationship Id="rId62" Type="http://schemas.openxmlformats.org/officeDocument/2006/relationships/oleObject" Target="embeddings/oleObject26.bin"/><Relationship Id="rId70" Type="http://schemas.openxmlformats.org/officeDocument/2006/relationships/image" Target="media/image33.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02E9-75F6-46B0-BF75-3ABA26E0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3042</Words>
  <Characters>17381</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The main components in a quantitative fishery management system fall into two models: an operating model and a harvest control</vt:lpstr>
    </vt:vector>
  </TitlesOfParts>
  <Company>University of Cape Town</Company>
  <LinksUpToDate>false</LinksUpToDate>
  <CharactersWithSpaces>20383</CharactersWithSpaces>
  <SharedDoc>false</SharedDoc>
  <HLinks>
    <vt:vector size="6" baseType="variant">
      <vt:variant>
        <vt:i4>7536709</vt:i4>
      </vt:variant>
      <vt:variant>
        <vt:i4>0</vt:i4>
      </vt:variant>
      <vt:variant>
        <vt:i4>0</vt:i4>
      </vt:variant>
      <vt:variant>
        <vt:i4>5</vt:i4>
      </vt:variant>
      <vt:variant>
        <vt:lpwstr>mailto:carryn.demoor@uct.ac.za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main components in a quantitative fishery management system fall into two models: an operating model and a harvest control</dc:title>
  <dc:subject/>
  <dc:creator>Carryn Cunningham</dc:creator>
  <cp:keywords/>
  <dc:description/>
  <cp:lastModifiedBy>New Win User</cp:lastModifiedBy>
  <cp:revision>2</cp:revision>
  <cp:lastPrinted>2010-05-22T10:17:00Z</cp:lastPrinted>
  <dcterms:created xsi:type="dcterms:W3CDTF">2010-11-23T08:58:00Z</dcterms:created>
  <dcterms:modified xsi:type="dcterms:W3CDTF">2010-11-23T08:58:00Z</dcterms:modified>
</cp:coreProperties>
</file>