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58" w:rsidRPr="00EC38A2" w:rsidRDefault="00795558" w:rsidP="00795558">
      <w:pPr>
        <w:pStyle w:val="Heading2"/>
        <w:jc w:val="center"/>
        <w:rPr>
          <w:i w:val="0"/>
          <w:lang w:val="en-GB"/>
        </w:rPr>
      </w:pPr>
      <w:r>
        <w:rPr>
          <w:i w:val="0"/>
          <w:lang w:val="en-GB"/>
        </w:rPr>
        <w:t>Survival of African P</w:t>
      </w:r>
      <w:r w:rsidRPr="00EC38A2">
        <w:rPr>
          <w:i w:val="0"/>
          <w:lang w:val="en-GB"/>
        </w:rPr>
        <w:t xml:space="preserve">enguins on </w:t>
      </w:r>
      <w:proofErr w:type="spellStart"/>
      <w:r w:rsidRPr="00EC38A2">
        <w:rPr>
          <w:i w:val="0"/>
          <w:lang w:val="en-GB"/>
        </w:rPr>
        <w:t>Robben</w:t>
      </w:r>
      <w:proofErr w:type="spellEnd"/>
      <w:r w:rsidRPr="00EC38A2">
        <w:rPr>
          <w:i w:val="0"/>
          <w:lang w:val="en-GB"/>
        </w:rPr>
        <w:t xml:space="preserve"> and </w:t>
      </w:r>
      <w:proofErr w:type="spellStart"/>
      <w:r w:rsidRPr="00EC38A2">
        <w:rPr>
          <w:i w:val="0"/>
          <w:lang w:val="en-GB"/>
        </w:rPr>
        <w:t>Dassen</w:t>
      </w:r>
      <w:proofErr w:type="spellEnd"/>
      <w:r w:rsidRPr="00EC38A2">
        <w:rPr>
          <w:i w:val="0"/>
          <w:lang w:val="en-GB"/>
        </w:rPr>
        <w:t xml:space="preserve"> islands from 2002 to 2006</w:t>
      </w:r>
    </w:p>
    <w:p w:rsidR="00795558" w:rsidRPr="00EC38A2" w:rsidRDefault="00795558" w:rsidP="00795558"/>
    <w:p w:rsidR="00795558" w:rsidRPr="00EC38A2" w:rsidRDefault="00795558" w:rsidP="00795558">
      <w:pPr>
        <w:jc w:val="center"/>
      </w:pPr>
      <w:r w:rsidRPr="00EC38A2">
        <w:t xml:space="preserve">Res </w:t>
      </w:r>
      <w:proofErr w:type="spellStart"/>
      <w:r w:rsidRPr="00EC38A2">
        <w:t>Altwegg</w:t>
      </w:r>
      <w:proofErr w:type="spellEnd"/>
      <w:r w:rsidRPr="00EC38A2">
        <w:t>, South African National Biodiversity Institute</w:t>
      </w:r>
    </w:p>
    <w:p w:rsidR="00795558" w:rsidRDefault="00795558" w:rsidP="00795558">
      <w:pPr>
        <w:jc w:val="center"/>
      </w:pPr>
    </w:p>
    <w:p w:rsidR="00795558" w:rsidRDefault="00795558" w:rsidP="00795558">
      <w:proofErr w:type="spellStart"/>
      <w:r w:rsidRPr="00A25CEB">
        <w:t>Altwegg</w:t>
      </w:r>
      <w:proofErr w:type="spellEnd"/>
      <w:r w:rsidRPr="00A25CEB">
        <w:t xml:space="preserve"> R</w:t>
      </w:r>
      <w:r>
        <w:t>.</w:t>
      </w:r>
      <w:r w:rsidRPr="00A25CEB">
        <w:t xml:space="preserve"> 2009</w:t>
      </w:r>
      <w:r>
        <w:t>.</w:t>
      </w:r>
      <w:r w:rsidRPr="00A25CEB">
        <w:t xml:space="preserve"> </w:t>
      </w:r>
      <w:proofErr w:type="gramStart"/>
      <w:r w:rsidRPr="00A25CEB">
        <w:t xml:space="preserve">Survival of African Penguins at </w:t>
      </w:r>
      <w:proofErr w:type="spellStart"/>
      <w:r w:rsidRPr="00A25CEB">
        <w:t>Robben</w:t>
      </w:r>
      <w:proofErr w:type="spellEnd"/>
      <w:r w:rsidRPr="00A25CEB">
        <w:t xml:space="preserve"> and </w:t>
      </w:r>
      <w:proofErr w:type="spellStart"/>
      <w:r w:rsidRPr="00A25CEB">
        <w:t>Dassen</w:t>
      </w:r>
      <w:proofErr w:type="spellEnd"/>
      <w:r w:rsidRPr="00A25CEB">
        <w:t xml:space="preserve"> islands from 2002 to 2006.</w:t>
      </w:r>
      <w:proofErr w:type="gramEnd"/>
      <w:r w:rsidRPr="00A25CEB">
        <w:t xml:space="preserve"> </w:t>
      </w:r>
      <w:r w:rsidRPr="001E0E34">
        <w:rPr>
          <w:i/>
        </w:rPr>
        <w:t>MCM/2009/SWG-PEL</w:t>
      </w:r>
      <w:r w:rsidRPr="00A25CEB">
        <w:t>/</w:t>
      </w:r>
      <w:r w:rsidRPr="001E0E34">
        <w:rPr>
          <w:b/>
        </w:rPr>
        <w:t>16</w:t>
      </w:r>
      <w:r>
        <w:t>: 11</w:t>
      </w:r>
      <w:r w:rsidRPr="00165F6B">
        <w:rPr>
          <w:bCs/>
        </w:rPr>
        <w:t>–</w:t>
      </w:r>
      <w:r>
        <w:t>17.</w:t>
      </w:r>
    </w:p>
    <w:p w:rsidR="00795558" w:rsidRPr="00EC38A2" w:rsidRDefault="00795558" w:rsidP="00795558">
      <w:pPr>
        <w:jc w:val="center"/>
      </w:pPr>
    </w:p>
    <w:p w:rsidR="00795558" w:rsidRPr="00EC38A2" w:rsidRDefault="00795558" w:rsidP="00795558">
      <w:r w:rsidRPr="00EC38A2">
        <w:t>I</w:t>
      </w:r>
      <w:r>
        <w:t xml:space="preserve"> estimated survival of African P</w:t>
      </w:r>
      <w:r w:rsidRPr="00EC38A2">
        <w:t xml:space="preserve">enguins on </w:t>
      </w:r>
      <w:proofErr w:type="spellStart"/>
      <w:r w:rsidRPr="00EC38A2">
        <w:t>Robben</w:t>
      </w:r>
      <w:proofErr w:type="spellEnd"/>
      <w:r w:rsidRPr="00EC38A2">
        <w:t xml:space="preserve"> Island and </w:t>
      </w:r>
      <w:proofErr w:type="spellStart"/>
      <w:r w:rsidRPr="00EC38A2">
        <w:t>Dassen</w:t>
      </w:r>
      <w:proofErr w:type="spellEnd"/>
      <w:r w:rsidRPr="00EC38A2">
        <w:t xml:space="preserve"> Island between 2002 and 2006. The basis for the analysis was a data file supplied to me by Barbara </w:t>
      </w:r>
      <w:proofErr w:type="spellStart"/>
      <w:r w:rsidRPr="00EC38A2">
        <w:t>Barham</w:t>
      </w:r>
      <w:proofErr w:type="spellEnd"/>
      <w:r w:rsidRPr="00EC38A2">
        <w:t xml:space="preserve"> on 16 February 2009. It included banding, recapture, and </w:t>
      </w:r>
      <w:proofErr w:type="spellStart"/>
      <w:r w:rsidRPr="00EC38A2">
        <w:t>resighting</w:t>
      </w:r>
      <w:proofErr w:type="spellEnd"/>
      <w:r w:rsidRPr="00EC38A2">
        <w:t xml:space="preserve"> data from throughout the South African range of the penguin. Data on banded birds found dead (recoveries) were also included in this file. I decided to restrict the analysis to adult birds, which was the vast majority of the data. After some trials, I further restricted the analyses to two colonies, </w:t>
      </w:r>
      <w:proofErr w:type="spellStart"/>
      <w:r w:rsidRPr="00EC38A2">
        <w:t>Robben</w:t>
      </w:r>
      <w:proofErr w:type="spellEnd"/>
      <w:r w:rsidRPr="00EC38A2">
        <w:t xml:space="preserve"> and </w:t>
      </w:r>
      <w:proofErr w:type="spellStart"/>
      <w:r w:rsidRPr="00EC38A2">
        <w:t>Dassen</w:t>
      </w:r>
      <w:proofErr w:type="spellEnd"/>
      <w:r w:rsidRPr="00EC38A2">
        <w:t xml:space="preserve"> islands. The reason for this restriction was that I could not obtain reliable estimates for any of the other colonies, whether or not I included dead recoveries, and even with simplifying assumptions imposed (such as constant survival/recapture and linear time trends). It turned out that there were too few dead recoveries to justify the added model complexity, and I also excluded these data.</w:t>
      </w:r>
    </w:p>
    <w:p w:rsidR="00795558" w:rsidRPr="00EC38A2" w:rsidRDefault="00795558" w:rsidP="00795558"/>
    <w:p w:rsidR="00795558" w:rsidRPr="00EC38A2" w:rsidRDefault="00795558" w:rsidP="00795558">
      <w:r w:rsidRPr="00EC38A2">
        <w:t xml:space="preserve">In the end, I used data on 6694 penguins on </w:t>
      </w:r>
      <w:proofErr w:type="spellStart"/>
      <w:r w:rsidRPr="00EC38A2">
        <w:t>Robben</w:t>
      </w:r>
      <w:proofErr w:type="spellEnd"/>
      <w:r w:rsidRPr="00EC38A2">
        <w:t xml:space="preserve"> Island and 5603 on </w:t>
      </w:r>
      <w:proofErr w:type="spellStart"/>
      <w:r w:rsidRPr="00EC38A2">
        <w:t>Dassen</w:t>
      </w:r>
      <w:proofErr w:type="spellEnd"/>
      <w:r w:rsidRPr="00EC38A2">
        <w:t xml:space="preserve"> Island, observed between 2001 and 2008. I understood that most of these birds were oil-spill victims and had been banded in 2000 after being rehabilitated following the “Treasure” oil spill or being relocated to prevent their becoming oiled. I used the first re-encounter at one of these two colonies as initial encounter rather than the banding occasion because I did not know how many birds were banded and never seen again. So the estimates are based on birds that made it back to one of the islands after having been released. I believe this makes the results more applicable to the wild population because it likely excludes birds that were most negatively affected by the oiling incident. In the data files, the encounters were pooled by calendar year and I took the survival intervals to be from one year to the next.</w:t>
      </w:r>
    </w:p>
    <w:p w:rsidR="00795558" w:rsidRPr="00EC38A2" w:rsidRDefault="00795558" w:rsidP="00795558"/>
    <w:p w:rsidR="00795558" w:rsidRPr="00EC38A2" w:rsidRDefault="00795558" w:rsidP="00795558">
      <w:r w:rsidRPr="00EC38A2">
        <w:t xml:space="preserve">I used classical capture-mark-recapture (CMR) methods </w:t>
      </w:r>
      <w:r w:rsidR="00B32949" w:rsidRPr="00EC38A2">
        <w:fldChar w:fldCharType="begin"/>
      </w:r>
      <w:r w:rsidRPr="00EC38A2">
        <w:instrText xml:space="preserve"> ADDIN EN.CITE &lt;EndNote&gt;&lt;Cite&gt;&lt;Author&gt;Lebreton&lt;/Author&gt;&lt;Year&gt;1992&lt;/Year&gt;&lt;RecNum&gt;302&lt;/RecNum&gt;&lt;record&gt;&lt;database name="Litres_en8.enl" path="C:\res\literatur\Litres_en8.enl"&gt;Litres_en8.enl&lt;/database&gt;&lt;source-app name="EndNote" version="8.0"&gt;EndNote&lt;/source-app&gt;&lt;rec-number&gt;302&lt;/rec-number&gt;&lt;ref-type name="Journal Article"&gt;17&lt;/ref-type&gt;&lt;contributors&gt;&lt;authors&gt;&lt;author&gt;&lt;style face="normal" font="default" size="100%"&gt;Lebreton, J.D. &lt;/style&gt;&lt;/author&gt;&lt;author&gt;&lt;style face="normal" font="default" size="100%"&gt;Burnham, K.P. &lt;/style&gt;&lt;/author&gt;&lt;author&gt;&lt;style face="normal" font="default" size="100%"&gt;Clobert, J. &lt;/style&gt;&lt;/author&gt;&lt;author&gt;&lt;style face="normal" font="default" size="100%"&gt;Anderson, D.R.&lt;/style&gt;&lt;/author&gt;&lt;/authors&gt;&lt;/contributors&gt;&lt;titles&gt;&lt;title&gt;&lt;style face="normal" font="default" size="100%"&gt;Modeling survival and testing biological hypotheses using marked animals: a unified approach with case studies&lt;/style&gt;&lt;/title&gt;&lt;secondary-title&gt;&lt;style face="normal" font="default" size="100%"&gt;Ecological Monographs&lt;/style&gt;&lt;/secondary-title&gt;&lt;/titles&gt;&lt;periodical&gt;&lt;full-title&gt;&lt;style face="normal" font="default" size="100%"&gt;Ecological Monographs&lt;/style&gt;&lt;/full-title&gt;&lt;/periodical&gt;&lt;pages&gt;&lt;style face="normal" font="default" size="100%"&gt;67-118&lt;/style&gt;&lt;/pages&gt;&lt;volume&gt;&lt;style face="normal" font="default" size="100%"&gt;62&lt;/style&gt;&lt;/volume&gt;&lt;number&gt;&lt;style face="normal" font="default" size="100%"&gt;1&lt;/style&gt;&lt;/number&gt;&lt;keywords&gt;&lt;keyword&gt;&lt;style face="normal" font="default" size="100%"&gt;capture-recapture&lt;/style&gt;&lt;/keyword&gt;&lt;keyword&gt;&lt;style face="normal" font="default" size="100%"&gt;aic&lt;/style&gt;&lt;/keyword&gt;&lt;keyword&gt;&lt;style face="normal" font="default" size="100%"&gt;maximum likelihood&lt;/style&gt;&lt;/keyword&gt;&lt;keyword&gt;&lt;style face="normal" font="default" size="100%"&gt;logistic model&lt;/style&gt;&lt;/keyword&gt;&lt;keyword&gt;&lt;style face="normal" font="default" size="100%"&gt;population dynamics&lt;/style&gt;&lt;/keyword&gt;&lt;/keywords&gt;&lt;dates&gt;&lt;year&gt;&lt;style face="normal" font="default" size="100%"&gt;1992&lt;/style&gt;&lt;/year&gt;&lt;pub-dates&gt;&lt;date&gt;&lt;style face="normal" font="default" size="100%"&gt;1992&lt;/style&gt;&lt;/date&gt;&lt;/pub-dates&gt;&lt;/dates&gt;&lt;label&gt;&lt;style face="normal" font="default" size="100%"&gt;3030&lt;/style&gt;&lt;/label&gt;&lt;urls&gt;&lt;related-urls&gt;&lt;url&gt;&lt;style face="normal" font="default" size="100%"&gt;file://C:%5Cres%5Cliteratur%5Cpdfartikel%5Calle%5CLebreton_etal1992.pdf  &lt;/style&gt;&lt;/url&gt;&lt;/related-urls&gt;&lt;/urls&gt;&lt;/record&gt;&lt;/Cite&gt;&lt;/EndNote&gt;</w:instrText>
      </w:r>
      <w:r w:rsidR="00B32949" w:rsidRPr="00EC38A2">
        <w:fldChar w:fldCharType="separate"/>
      </w:r>
      <w:r w:rsidRPr="00EC38A2">
        <w:t>(Lebreton</w:t>
      </w:r>
      <w:r w:rsidRPr="00EC38A2">
        <w:rPr>
          <w:i/>
        </w:rPr>
        <w:t xml:space="preserve"> et al.</w:t>
      </w:r>
      <w:r w:rsidRPr="00EC38A2">
        <w:t>, 1992)</w:t>
      </w:r>
      <w:r w:rsidR="00B32949" w:rsidRPr="00EC38A2">
        <w:fldChar w:fldCharType="end"/>
      </w:r>
      <w:r w:rsidRPr="00EC38A2">
        <w:t xml:space="preserve"> to estimate survival and recapture probabilities, where recapture refers to the probability of encountering (recapture or </w:t>
      </w:r>
      <w:proofErr w:type="spellStart"/>
      <w:r w:rsidRPr="00EC38A2">
        <w:t>resighting</w:t>
      </w:r>
      <w:proofErr w:type="spellEnd"/>
      <w:r w:rsidRPr="00EC38A2">
        <w:t xml:space="preserve">) an individual given that it was alive in that particular year. The most general model allowed for differences among colonies and years in survival and recapture rates. In addition, I considered the effects of transients using an age-since-first-encounter model. </w:t>
      </w:r>
      <w:proofErr w:type="gramStart"/>
      <w:r w:rsidRPr="00EC38A2">
        <w:t>Assuming that transients only appear once at a colony, birds seen for the first time consist of a mixture of transients and residents.</w:t>
      </w:r>
      <w:proofErr w:type="gramEnd"/>
      <w:r w:rsidRPr="00EC38A2">
        <w:t xml:space="preserve"> This leads to survival rates that are biased low during the subsequent time step, but after that, survival estimates are unbiased </w:t>
      </w:r>
      <w:r w:rsidR="00B32949" w:rsidRPr="00EC38A2">
        <w:fldChar w:fldCharType="begin"/>
      </w:r>
      <w:r w:rsidRPr="00EC38A2">
        <w:instrText xml:space="preserve"> ADDIN EN.CITE &lt;EndNote&gt;&lt;Cite&gt;&lt;Author&gt;Pradel&lt;/Author&gt;&lt;Year&gt;1996&lt;/Year&gt;&lt;RecNum&gt;1111&lt;/RecNum&gt;&lt;record&gt;&lt;database name="Litres_en8.enl" path="C:\res\literatur\Litres_en8.enl"&gt;Litres_en8.enl&lt;/database&gt;&lt;source-app name="EndNote" version="8.0"&gt;EndNote&lt;/source-app&gt;&lt;rec-number&gt;1111&lt;/rec-number&gt;&lt;ref-type name="Report"&gt;27&lt;/ref-type&gt;&lt;contributors&gt;&lt;authors&gt;&lt;author&gt;&lt;style face="normal" font="default" size="100%"&gt;Pradel, R. &lt;/style&gt;&lt;/author&gt;&lt;author&gt;&lt;style face="normal" font="default" size="100%"&gt;Hines, J.E. &lt;/style&gt;&lt;/author&gt;&lt;author&gt;&lt;style face="normal" font="default" size="100%"&gt;Lebreton, J.-D. &lt;/style&gt;&lt;/author&gt;&lt;author&gt;&lt;style face="normal" font="default" size="100%"&gt;Nichols, J.D.&lt;/style&gt;&lt;/author&gt;&lt;/authors&gt;&lt;/contributors&gt;&lt;titles&gt;&lt;title&gt;&lt;style face="normal" font="default" size="100%"&gt;Capture-recapture survival models taking into account of transients&lt;/style&gt;&lt;/title&gt;&lt;/titles&gt;&lt;dates&gt;&lt;year&gt;&lt;style face="normal" font="default" size="100%"&gt;1996&lt;/style&gt;&lt;/year&gt;&lt;pub-dates&gt;&lt;date&gt;&lt;style face="normal" font="default" size="100%"&gt;1996&lt;/style&gt;&lt;/date&gt;&lt;/pub-dates&gt;&lt;/dates&gt;&lt;pub-location&gt;&lt;style face="normal" font="default" size="100%"&gt;Montpellier&lt;/style&gt;&lt;/pub-location&gt;&lt;publisher&gt;&lt;style face="normal" font="default" size="100%"&gt;Unite de biometrie, Université Montpellier II&lt;/style&gt;&lt;/publisher&gt;&lt;isbn&gt;&lt;style face="normal" font="default" size="100%"&gt;96-03&lt;/style&gt;&lt;/isbn&gt;&lt;label&gt;&lt;style face="normal" font="default" size="100%"&gt;11250&lt;/style&gt;&lt;/label&gt;&lt;urls&gt;&lt;/urls&gt;&lt;/record&gt;&lt;/Cite&gt;&lt;/EndNote&gt;</w:instrText>
      </w:r>
      <w:r w:rsidR="00B32949" w:rsidRPr="00EC38A2">
        <w:fldChar w:fldCharType="separate"/>
      </w:r>
      <w:r w:rsidRPr="00EC38A2">
        <w:t>(Pradel</w:t>
      </w:r>
      <w:r w:rsidRPr="00EC38A2">
        <w:rPr>
          <w:i/>
        </w:rPr>
        <w:t xml:space="preserve"> et al.</w:t>
      </w:r>
      <w:r w:rsidRPr="00EC38A2">
        <w:t>, 1996)</w:t>
      </w:r>
      <w:r w:rsidR="00B32949" w:rsidRPr="00EC38A2">
        <w:fldChar w:fldCharType="end"/>
      </w:r>
      <w:r w:rsidRPr="00EC38A2">
        <w:t xml:space="preserve">. During the first year of the study, the proportion of transients is not known and I therefore cannot present a corrected survival estimate for the year 2001 - 2002. The most general model allowed the proportion of transients to vary among colonies and year. I also considered simpler models with constant proportions of transients, and where survival varied over the years in parallel at both colonies. All models were fitted in program MARK 5.1 </w:t>
      </w:r>
      <w:r w:rsidR="00B32949" w:rsidRPr="00EC38A2">
        <w:fldChar w:fldCharType="begin"/>
      </w:r>
      <w:r w:rsidRPr="00EC38A2">
        <w:instrText xml:space="preserve"> ADDIN EN.CITE &lt;EndNote&gt;&lt;Cite&gt;&lt;Author&gt;White&lt;/Author&gt;&lt;Year&gt;1999&lt;/Year&gt;&lt;RecNum&gt;1024&lt;/RecNum&gt;&lt;record&gt;&lt;database name="Litres_en8.enl" path="C:\res\literatur\Litres_en8.enl"&gt;Litres_en8.enl&lt;/database&gt;&lt;source-app name="EndNote" version="8.0"&gt;EndNote&lt;/source-app&gt;&lt;rec-number&gt;1024&lt;/rec-number&gt;&lt;ref-type name="Journal Article"&gt;17&lt;/ref-type&gt;&lt;contributors&gt;&lt;authors&gt;&lt;author&gt;&lt;style face="normal" font="default" size="100%"&gt;White, G.C. &lt;/style&gt;&lt;/author&gt;&lt;author&gt;&lt;style face="normal" font="default" size="100%"&gt;Burnham, K.P.&lt;/style&gt;&lt;/author&gt;&lt;/authors&gt;&lt;/contributors&gt;&lt;titles&gt;&lt;title&gt;&lt;style face="normal" font="default" size="100%"&gt;Program MARK: Survival estimation from populations of marked animals&lt;/style&gt;&lt;/title&gt;&lt;secondary-title&gt;&lt;style face="normal" font="default" size="100%"&gt;Bird Study&lt;/style&gt;&lt;/secondary-title&gt;&lt;/titles&gt;&lt;periodical&gt;&lt;full-title&gt;&lt;style face="normal" font="default" size="100%"&gt;Bird Study&lt;/style&gt;&lt;/full-title&gt;&lt;/periodical&gt;&lt;pages&gt;&lt;style face="normal" font="default" size="100%"&gt;S120-139&lt;/style&gt;&lt;/pages&gt;&lt;volume&gt;&lt;style face="normal" font="default" size="100%"&gt;46&lt;/style&gt;&lt;/volume&gt;&lt;dates&gt;&lt;year&gt;&lt;style face="normal" font="default" size="100%"&gt;1999&lt;/style&gt;&lt;/year&gt;&lt;pub-dates&gt;&lt;date&gt;&lt;style face="normal" font="default" size="100%"&gt;1999&lt;/style&gt;&lt;/date&gt;&lt;/pub-dates&gt;&lt;/dates&gt;&lt;label&gt;&lt;style face="normal" font="default" size="100%"&gt;10360&lt;/style&gt;&lt;/label&gt;&lt;urls&gt;&lt;/urls&gt;&lt;/record&gt;&lt;/Cite&gt;&lt;/EndNote&gt;</w:instrText>
      </w:r>
      <w:r w:rsidR="00B32949" w:rsidRPr="00EC38A2">
        <w:fldChar w:fldCharType="separate"/>
      </w:r>
      <w:r w:rsidRPr="00EC38A2">
        <w:t>(White &amp; Burnham, 1999)</w:t>
      </w:r>
      <w:r w:rsidR="00B32949" w:rsidRPr="00EC38A2">
        <w:fldChar w:fldCharType="end"/>
      </w:r>
      <w:r w:rsidRPr="00EC38A2">
        <w:t>.</w:t>
      </w:r>
    </w:p>
    <w:p w:rsidR="00795558" w:rsidRPr="00EC38A2" w:rsidRDefault="00795558" w:rsidP="00795558"/>
    <w:p w:rsidR="00795558" w:rsidRPr="00EC38A2" w:rsidRDefault="00795558" w:rsidP="00795558">
      <w:r w:rsidRPr="00EC38A2">
        <w:lastRenderedPageBreak/>
        <w:t xml:space="preserve">The CMR methods assume equal survival and catchability among individuals. Further assumptions are that the time span during which individuals were recaptured or </w:t>
      </w:r>
      <w:proofErr w:type="spellStart"/>
      <w:r w:rsidRPr="00EC38A2">
        <w:t>resighted</w:t>
      </w:r>
      <w:proofErr w:type="spellEnd"/>
      <w:r w:rsidRPr="00EC38A2">
        <w:t xml:space="preserve"> was short relative to the survival interval. Violation of the latter assumption leads to apparent heterogeneity in survival. The survival estimates are not very sensitive to violation in these assumptions, but if the violations are strong, survival rates may be biased low </w:t>
      </w:r>
      <w:r w:rsidR="00B32949" w:rsidRPr="00EC38A2">
        <w:fldChar w:fldCharType="begin"/>
      </w:r>
      <w:r w:rsidRPr="00EC38A2">
        <w:instrText xml:space="preserve"> ADDIN EN.CITE &lt;EndNote&gt;&lt;Cite&gt;&lt;Author&gt;Hargrove&lt;/Author&gt;&lt;Year&gt;1994&lt;/Year&gt;&lt;RecNum&gt;2321&lt;/RecNum&gt;&lt;record&gt;&lt;database name="Litres_en8.enl" path="C:\res\literatur\Litres_en8.enl"&gt;Litres_en8.enl&lt;/database&gt;&lt;source-app name="EndNote" version="8.0"&gt;EndNote&lt;/source-app&gt;&lt;rec-number&gt;2321&lt;/rec-number&gt;&lt;ref-type name="Journal Article"&gt;17&lt;/ref-type&gt;&lt;contributors&gt;&lt;authors&gt;&lt;author&gt;&lt;style face="normal" font="default" size="100%"&gt;Hargrove, J. W.&lt;/style&gt;&lt;/author&gt;&lt;author&gt;&lt;style face="normal" font="default" size="100%"&gt;Borland, C. H.&lt;/style&gt;&lt;/author&gt;&lt;/authors&gt;&lt;/contributors&gt;&lt;titles&gt;&lt;title&gt;&lt;style face="normal" font="default" size="100%"&gt;Pooled Population Parameter Estimates from Mark-Recapture Data&lt;/style&gt;&lt;/title&gt;&lt;secondary-title&gt;&lt;style face="normal" font="default" size="100%"&gt;Biometrics&lt;/style&gt;&lt;/secondary-title&gt;&lt;/titles&gt;&lt;periodical&gt;&lt;full-title&gt;&lt;style face="normal" font="default" size="100%"&gt;Biometrics&lt;/style&gt;&lt;/full-title&gt;&lt;/periodical&gt;&lt;pages&gt;&lt;style face="normal" font="default" size="100%"&gt;1129-1141&lt;/style&gt;&lt;/pages&gt;&lt;volume&gt;&lt;style face="normal" font="default" size="100%"&gt;50&lt;/style&gt;&lt;/volume&gt;&lt;number&gt;&lt;style face="normal" font="default" size="100%"&gt;4&lt;/style&gt;&lt;/number&gt;&lt;keywords&gt;&lt;keyword&gt;&lt;style face="normal" font="default" size="100%"&gt;batch marking, bias, jolly-seber model, reduced capture history&lt;/style&gt;&lt;/keyword&gt;&lt;/keywords&gt;&lt;dates&gt;&lt;year&gt;&lt;style face="normal" font="default" size="100%"&gt;1994&lt;/style&gt;&lt;/year&gt;&lt;pub-dates&gt;&lt;date&gt;&lt;style face="normal" font="default" size="100%"&gt;Dec&lt;/style&gt;&lt;/date&gt;&lt;/pub-dates&gt;&lt;/dates&gt;&lt;accession-num&gt;&lt;style face="normal" font="default" size="100%"&gt;ISI:A1994QP05000019&lt;/style&gt;&lt;/accession-num&gt;&lt;urls&gt;&lt;related-urls&gt;&lt;url&gt;&lt;style face="normal" font="default" size="100%"&gt;&amp;lt;Go to ISI&amp;gt;://A1994QP05000019&lt;/style&gt;&lt;/url&gt;&lt;url&gt;&lt;style face="normal" font="default" size="100%"&gt;file://C:%5Cres%5Cliteratur%5Cpdfartikel%5Calle%5CHargrove_Borland1994.pdf &lt;/style&gt;&lt;/url&gt;&lt;/related-urls&gt;&lt;/urls&gt;&lt;/record&gt;&lt;/Cite&gt;&lt;/EndNote&gt;</w:instrText>
      </w:r>
      <w:r w:rsidR="00B32949" w:rsidRPr="00EC38A2">
        <w:fldChar w:fldCharType="separate"/>
      </w:r>
      <w:r w:rsidRPr="00EC38A2">
        <w:t>(Hargrove &amp; Borland, 1994)</w:t>
      </w:r>
      <w:r w:rsidR="00B32949" w:rsidRPr="00EC38A2">
        <w:fldChar w:fldCharType="end"/>
      </w:r>
      <w:r w:rsidRPr="00EC38A2">
        <w:t xml:space="preserve">. Heterogeneity in survival and recapture rates leads to </w:t>
      </w:r>
      <w:proofErr w:type="spellStart"/>
      <w:r w:rsidRPr="00EC38A2">
        <w:t>overdispersion</w:t>
      </w:r>
      <w:proofErr w:type="spellEnd"/>
      <w:r w:rsidRPr="00EC38A2">
        <w:t xml:space="preserve"> in the data set, which I estimated using the median-</w:t>
      </w:r>
      <w:r w:rsidRPr="00EC38A2">
        <w:rPr>
          <w:position w:val="-6"/>
        </w:rPr>
        <w:object w:dxaOrig="1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21.75pt" o:ole="">
            <v:imagedata r:id="rId6" o:title=""/>
          </v:shape>
          <o:OLEObject Type="Embed" ProgID="Equation.3" ShapeID="_x0000_i1025" DrawAspect="Content" ObjectID="_1352708860" r:id="rId7"/>
        </w:object>
      </w:r>
      <w:r w:rsidRPr="00EC38A2">
        <w:t xml:space="preserve"> approach in program MARK </w:t>
      </w:r>
      <w:r w:rsidR="00B32949" w:rsidRPr="00EC38A2">
        <w:fldChar w:fldCharType="begin"/>
      </w:r>
      <w:r w:rsidRPr="00EC38A2">
        <w:instrText xml:space="preserve"> ADDIN EN.CITE &lt;EndNote&gt;&lt;Cite&gt;&lt;Author&gt;White&lt;/Author&gt;&lt;Year&gt;1999&lt;/Year&gt;&lt;RecNum&gt;1024&lt;/RecNum&gt;&lt;record&gt;&lt;database name="Litres_en8.enl" path="C:\res\literatur\Litres_en8.enl"&gt;Litres_en8.enl&lt;/database&gt;&lt;source-app name="EndNote" version="8.0"&gt;EndNote&lt;/source-app&gt;&lt;rec-number&gt;1024&lt;/rec-number&gt;&lt;ref-type name="Journal Article"&gt;17&lt;/ref-type&gt;&lt;contributors&gt;&lt;authors&gt;&lt;author&gt;&lt;style face="normal" font="default" size="100%"&gt;White, G.C. &lt;/style&gt;&lt;/author&gt;&lt;author&gt;&lt;style face="normal" font="default" size="100%"&gt;Burnham, K.P.&lt;/style&gt;&lt;/author&gt;&lt;/authors&gt;&lt;/contributors&gt;&lt;titles&gt;&lt;title&gt;&lt;style face="normal" font="default" size="100%"&gt;Program MARK: Survival estimation from populations of marked animals&lt;/style&gt;&lt;/title&gt;&lt;secondary-title&gt;&lt;style face="normal" font="default" size="100%"&gt;Bird Study&lt;/style&gt;&lt;/secondary-title&gt;&lt;/titles&gt;&lt;periodical&gt;&lt;full-title&gt;&lt;style face="normal" font="default" size="100%"&gt;Bird Study&lt;/style&gt;&lt;/full-title&gt;&lt;/periodical&gt;&lt;pages&gt;&lt;style face="normal" font="default" size="100%"&gt;S120-139&lt;/style&gt;&lt;/pages&gt;&lt;volume&gt;&lt;style face="normal" font="default" size="100%"&gt;46&lt;/style&gt;&lt;/volume&gt;&lt;dates&gt;&lt;year&gt;&lt;style face="normal" font="default" size="100%"&gt;1999&lt;/style&gt;&lt;/year&gt;&lt;pub-dates&gt;&lt;date&gt;&lt;style face="normal" font="default" size="100%"&gt;1999&lt;/style&gt;&lt;/date&gt;&lt;/pub-dates&gt;&lt;/dates&gt;&lt;label&gt;&lt;style face="normal" font="default" size="100%"&gt;10360&lt;/style&gt;&lt;/label&gt;&lt;urls&gt;&lt;/urls&gt;&lt;/record&gt;&lt;/Cite&gt;&lt;/EndNote&gt;</w:instrText>
      </w:r>
      <w:r w:rsidR="00B32949" w:rsidRPr="00EC38A2">
        <w:fldChar w:fldCharType="separate"/>
      </w:r>
      <w:r w:rsidRPr="00EC38A2">
        <w:t>(White &amp; Burnham, 1999)</w:t>
      </w:r>
      <w:r w:rsidR="00B32949" w:rsidRPr="00EC38A2">
        <w:fldChar w:fldCharType="end"/>
      </w:r>
      <w:r w:rsidRPr="00EC38A2">
        <w:t xml:space="preserve">: </w:t>
      </w:r>
      <w:r w:rsidRPr="00EC38A2">
        <w:rPr>
          <w:position w:val="-6"/>
        </w:rPr>
        <w:object w:dxaOrig="180" w:dyaOrig="440">
          <v:shape id="_x0000_i1026" type="#_x0000_t75" style="width:9.5pt;height:21.75pt" o:ole="">
            <v:imagedata r:id="rId6" o:title=""/>
          </v:shape>
          <o:OLEObject Type="Embed" ProgID="Equation.3" ShapeID="_x0000_i1026" DrawAspect="Content" ObjectID="_1352708861" r:id="rId8"/>
        </w:object>
      </w:r>
      <w:r w:rsidRPr="00EC38A2">
        <w:t xml:space="preserve"> was 1.6, which indicates moderate </w:t>
      </w:r>
      <w:proofErr w:type="spellStart"/>
      <w:r w:rsidRPr="00EC38A2">
        <w:t>overdispersion</w:t>
      </w:r>
      <w:proofErr w:type="spellEnd"/>
      <w:r w:rsidRPr="00EC38A2">
        <w:t xml:space="preserve">. I used this estimate to adjust the confidence interval and based model selection on </w:t>
      </w:r>
      <w:proofErr w:type="spellStart"/>
      <w:r w:rsidRPr="00EC38A2">
        <w:t>QAICc</w:t>
      </w:r>
      <w:proofErr w:type="spellEnd"/>
      <w:r w:rsidRPr="00EC38A2">
        <w:t xml:space="preserve">, </w:t>
      </w:r>
      <w:proofErr w:type="spellStart"/>
      <w:r w:rsidRPr="00EC38A2">
        <w:t>Akaike’s</w:t>
      </w:r>
      <w:proofErr w:type="spellEnd"/>
      <w:r w:rsidRPr="00EC38A2">
        <w:t xml:space="preserve"> Information Criterion adjusted for </w:t>
      </w:r>
      <w:proofErr w:type="spellStart"/>
      <w:r w:rsidRPr="00EC38A2">
        <w:t>overdispersion</w:t>
      </w:r>
      <w:proofErr w:type="spellEnd"/>
      <w:r w:rsidRPr="00EC38A2">
        <w:t xml:space="preserve"> and sample sizes </w:t>
      </w:r>
      <w:r w:rsidR="00B32949" w:rsidRPr="00EC38A2">
        <w:fldChar w:fldCharType="begin"/>
      </w:r>
      <w:r w:rsidRPr="00EC38A2">
        <w:instrText xml:space="preserve"> ADDIN EN.CITE &lt;EndNote&gt;&lt;Cite&gt;&lt;Author&gt;Burnham&lt;/Author&gt;&lt;Year&gt;2002&lt;/Year&gt;&lt;RecNum&gt;1601&lt;/RecNum&gt;&lt;record&gt;&lt;database name="Litres_en8.enl" path="C:\res\literatur\Litres_en8.enl"&gt;Litres_en8.enl&lt;/database&gt;&lt;source-app name="EndNote" version="8.0"&gt;EndNote&lt;/source-app&gt;&lt;rec-number&gt;1601&lt;/rec-number&gt;&lt;ref-type name="Book"&gt;6&lt;/ref-type&gt;&lt;contributors&gt;&lt;authors&gt;&lt;author&gt;&lt;style face="normal" font="default" size="100%"&gt;Burnham, K.P. &lt;/style&gt;&lt;/author&gt;&lt;author&gt;&lt;style face="normal" font="default" size="100%"&gt;Anderson, D.R.&lt;/style&gt;&lt;/author&gt;&lt;/authors&gt;&lt;/contributors&gt;&lt;titles&gt;&lt;title&gt;&lt;style face="normal" font="default" size="100%"&gt;Model selection and multimodel inference: a practical information-theoretic approach&lt;/style&gt;&lt;/title&gt;&lt;/titles&gt;&lt;edition&gt;&lt;style face="normal" font="default" size="100%"&gt;2nd&lt;/style&gt;&lt;/edition&gt;&lt;dates&gt;&lt;year&gt;&lt;style face="normal" font="default" size="100%"&gt;2002&lt;/style&gt;&lt;/year&gt;&lt;/dates&gt;&lt;pub-location&gt;&lt;style face="normal" font="default" size="100%"&gt;New York&lt;/style&gt;&lt;/pub-location&gt;&lt;publisher&gt;&lt;style face="normal" font="default" size="100%"&gt;Springer&lt;/style&gt;&lt;/publisher&gt;&lt;label&gt;&lt;style face="normal" font="default" size="100%"&gt;16210&lt;/style&gt;&lt;/label&gt;&lt;urls&gt;&lt;/urls&gt;&lt;/record&gt;&lt;/Cite&gt;&lt;/EndNote&gt;</w:instrText>
      </w:r>
      <w:r w:rsidR="00B32949" w:rsidRPr="00EC38A2">
        <w:fldChar w:fldCharType="separate"/>
      </w:r>
      <w:r w:rsidRPr="00EC38A2">
        <w:t>(Burnham &amp; Anderson, 2002)</w:t>
      </w:r>
      <w:r w:rsidR="00B32949" w:rsidRPr="00EC38A2">
        <w:fldChar w:fldCharType="end"/>
      </w:r>
      <w:r w:rsidRPr="00EC38A2">
        <w:t>. Further assumptions are that bands are not lost or misread. Misreading of bands would cause heterogeneity in recapture rates and possibly a positive bias in survival estimates. Loss of bands would result in a negative bias in survival estimates. If we want to draw conclusions from this analysis about the whole penguin population, we also need to assume that the banded birds are representative of the population as a whole.</w:t>
      </w:r>
    </w:p>
    <w:p w:rsidR="00795558" w:rsidRPr="00EC38A2" w:rsidRDefault="00795558" w:rsidP="00795558"/>
    <w:p w:rsidR="00795558" w:rsidRPr="00EC38A2" w:rsidRDefault="00795558" w:rsidP="00795558">
      <w:r w:rsidRPr="00EC38A2">
        <w:t>I want to make it clear that I view the results of this analysis as preliminary. Possible issues with heterogeneity especially in recapture rates need to be looked at in more detail.</w:t>
      </w:r>
    </w:p>
    <w:p w:rsidR="00795558" w:rsidRPr="00EC38A2" w:rsidRDefault="00795558" w:rsidP="00795558"/>
    <w:p w:rsidR="00795558" w:rsidRPr="00EC38A2" w:rsidRDefault="00795558" w:rsidP="00795558"/>
    <w:p w:rsidR="00795558" w:rsidRPr="00EC38A2" w:rsidRDefault="00795558" w:rsidP="00795558">
      <w:proofErr w:type="gramStart"/>
      <w:r w:rsidRPr="00EC38A2">
        <w:t>Table 1: Summary of model selection for capture-mark-recapture analysis.</w:t>
      </w:r>
      <w:proofErr w:type="gramEnd"/>
      <w:r w:rsidRPr="00EC38A2">
        <w:t xml:space="preserve"> The models consisted of two components describing survival (Phi) and recapture (P) rates. The models included the factors year, colony (</w:t>
      </w:r>
      <w:proofErr w:type="spellStart"/>
      <w:r w:rsidRPr="00EC38A2">
        <w:t>col</w:t>
      </w:r>
      <w:proofErr w:type="spellEnd"/>
      <w:r w:rsidRPr="00EC38A2">
        <w:t>), and effect of transients (</w:t>
      </w:r>
      <w:proofErr w:type="gramStart"/>
      <w:r w:rsidRPr="00EC38A2">
        <w:t>trans</w:t>
      </w:r>
      <w:proofErr w:type="gramEnd"/>
      <w:r w:rsidRPr="00EC38A2">
        <w:t xml:space="preserve">), either in a fully interactive way (*), or as additive effects (+). If only a two-way interaction was included, this is indicated by (:) between the two factors involved. The table shows </w:t>
      </w:r>
      <w:proofErr w:type="spellStart"/>
      <w:r w:rsidRPr="00EC38A2">
        <w:t>Akaike’s</w:t>
      </w:r>
      <w:proofErr w:type="spellEnd"/>
      <w:r w:rsidRPr="00EC38A2">
        <w:t xml:space="preserve"> Information Criterion adjusted for </w:t>
      </w:r>
      <w:proofErr w:type="spellStart"/>
      <w:r w:rsidRPr="00EC38A2">
        <w:t>overdisperion</w:t>
      </w:r>
      <w:proofErr w:type="spellEnd"/>
      <w:r w:rsidRPr="00EC38A2">
        <w:t xml:space="preserve"> and sample size (</w:t>
      </w:r>
      <w:proofErr w:type="spellStart"/>
      <w:r w:rsidRPr="00EC38A2">
        <w:t>QAICc</w:t>
      </w:r>
      <w:proofErr w:type="spellEnd"/>
      <w:r w:rsidRPr="00EC38A2">
        <w:t xml:space="preserve">), and the difference in </w:t>
      </w:r>
      <w:proofErr w:type="spellStart"/>
      <w:r w:rsidRPr="00EC38A2">
        <w:t>QAICc</w:t>
      </w:r>
      <w:proofErr w:type="spellEnd"/>
      <w:r w:rsidRPr="00EC38A2">
        <w:t xml:space="preserve"> between the current model and the best one (delta </w:t>
      </w:r>
      <w:proofErr w:type="spellStart"/>
      <w:r w:rsidRPr="00EC38A2">
        <w:t>QAICc</w:t>
      </w:r>
      <w:proofErr w:type="spellEnd"/>
      <w:r w:rsidRPr="00EC38A2">
        <w:t xml:space="preserve">). </w:t>
      </w:r>
      <w:proofErr w:type="spellStart"/>
      <w:r w:rsidRPr="00EC38A2">
        <w:t>AICc</w:t>
      </w:r>
      <w:proofErr w:type="spellEnd"/>
      <w:r w:rsidRPr="00EC38A2">
        <w:t xml:space="preserve"> weights give the relative support of a particular model compared to the other models in the set, and </w:t>
      </w:r>
      <w:proofErr w:type="spellStart"/>
      <w:r w:rsidRPr="00EC38A2">
        <w:t>QDeviance</w:t>
      </w:r>
      <w:proofErr w:type="spellEnd"/>
      <w:r w:rsidRPr="00EC38A2">
        <w:t xml:space="preserve"> is the deviance adjusted for </w:t>
      </w:r>
      <w:proofErr w:type="spellStart"/>
      <w:r w:rsidRPr="00EC38A2">
        <w:t>overdispersion</w:t>
      </w:r>
      <w:proofErr w:type="spellEnd"/>
      <w:r w:rsidRPr="00EC38A2">
        <w:t>.</w:t>
      </w:r>
    </w:p>
    <w:p w:rsidR="00795558" w:rsidRPr="00EC38A2" w:rsidRDefault="00795558" w:rsidP="00795558">
      <w:r w:rsidRPr="00EC38A2">
        <w:t xml:space="preserve"> </w:t>
      </w:r>
    </w:p>
    <w:tbl>
      <w:tblPr>
        <w:tblW w:w="8856" w:type="dxa"/>
        <w:tblLook w:val="01E0"/>
      </w:tblPr>
      <w:tblGrid>
        <w:gridCol w:w="336"/>
        <w:gridCol w:w="3401"/>
        <w:gridCol w:w="1387"/>
        <w:gridCol w:w="971"/>
        <w:gridCol w:w="1016"/>
        <w:gridCol w:w="533"/>
        <w:gridCol w:w="1296"/>
      </w:tblGrid>
      <w:tr w:rsidR="00795558" w:rsidRPr="00EC38A2" w:rsidTr="001B63B1">
        <w:trPr>
          <w:trHeight w:val="255"/>
        </w:trPr>
        <w:tc>
          <w:tcPr>
            <w:tcW w:w="252" w:type="dxa"/>
            <w:tcBorders>
              <w:bottom w:val="single" w:sz="4" w:space="0" w:color="auto"/>
            </w:tcBorders>
          </w:tcPr>
          <w:p w:rsidR="00795558" w:rsidRPr="00EC38A2" w:rsidRDefault="00795558" w:rsidP="001B63B1"/>
        </w:tc>
        <w:tc>
          <w:tcPr>
            <w:tcW w:w="3401" w:type="dxa"/>
            <w:tcBorders>
              <w:bottom w:val="single" w:sz="4" w:space="0" w:color="auto"/>
            </w:tcBorders>
            <w:noWrap/>
          </w:tcPr>
          <w:p w:rsidR="00795558" w:rsidRPr="00EC38A2" w:rsidRDefault="00795558" w:rsidP="001B63B1">
            <w:r w:rsidRPr="00EC38A2">
              <w:t>Model</w:t>
            </w:r>
          </w:p>
        </w:tc>
        <w:tc>
          <w:tcPr>
            <w:tcW w:w="1387" w:type="dxa"/>
            <w:tcBorders>
              <w:bottom w:val="single" w:sz="4" w:space="0" w:color="auto"/>
            </w:tcBorders>
            <w:noWrap/>
          </w:tcPr>
          <w:p w:rsidR="00795558" w:rsidRPr="00EC38A2" w:rsidRDefault="00795558" w:rsidP="001B63B1">
            <w:proofErr w:type="spellStart"/>
            <w:r w:rsidRPr="00EC38A2">
              <w:t>QAICc</w:t>
            </w:r>
            <w:proofErr w:type="spellEnd"/>
          </w:p>
        </w:tc>
        <w:tc>
          <w:tcPr>
            <w:tcW w:w="971" w:type="dxa"/>
            <w:tcBorders>
              <w:bottom w:val="single" w:sz="4" w:space="0" w:color="auto"/>
            </w:tcBorders>
            <w:noWrap/>
          </w:tcPr>
          <w:p w:rsidR="00795558" w:rsidRPr="00EC38A2" w:rsidRDefault="00795558" w:rsidP="001B63B1">
            <w:r w:rsidRPr="00EC38A2">
              <w:t xml:space="preserve">Delta </w:t>
            </w:r>
            <w:proofErr w:type="spellStart"/>
            <w:r w:rsidRPr="00EC38A2">
              <w:t>QAICc</w:t>
            </w:r>
            <w:proofErr w:type="spellEnd"/>
          </w:p>
        </w:tc>
        <w:tc>
          <w:tcPr>
            <w:tcW w:w="1016" w:type="dxa"/>
            <w:tcBorders>
              <w:bottom w:val="single" w:sz="4" w:space="0" w:color="auto"/>
            </w:tcBorders>
            <w:noWrap/>
          </w:tcPr>
          <w:p w:rsidR="00795558" w:rsidRPr="00EC38A2" w:rsidRDefault="00795558" w:rsidP="001B63B1">
            <w:proofErr w:type="spellStart"/>
            <w:r w:rsidRPr="00EC38A2">
              <w:t>AICc</w:t>
            </w:r>
            <w:proofErr w:type="spellEnd"/>
            <w:r w:rsidRPr="00EC38A2">
              <w:t xml:space="preserve"> weights</w:t>
            </w:r>
          </w:p>
        </w:tc>
        <w:tc>
          <w:tcPr>
            <w:tcW w:w="533" w:type="dxa"/>
            <w:tcBorders>
              <w:bottom w:val="single" w:sz="4" w:space="0" w:color="auto"/>
            </w:tcBorders>
            <w:noWrap/>
          </w:tcPr>
          <w:p w:rsidR="00795558" w:rsidRPr="00EC38A2" w:rsidRDefault="00795558" w:rsidP="001B63B1">
            <w:r w:rsidRPr="00EC38A2">
              <w:t>K</w:t>
            </w:r>
          </w:p>
        </w:tc>
        <w:tc>
          <w:tcPr>
            <w:tcW w:w="1296" w:type="dxa"/>
            <w:tcBorders>
              <w:bottom w:val="single" w:sz="4" w:space="0" w:color="auto"/>
            </w:tcBorders>
            <w:noWrap/>
          </w:tcPr>
          <w:p w:rsidR="00795558" w:rsidRPr="00EC38A2" w:rsidRDefault="00795558" w:rsidP="001B63B1">
            <w:proofErr w:type="spellStart"/>
            <w:r w:rsidRPr="00EC38A2">
              <w:t>QDeviance</w:t>
            </w:r>
            <w:proofErr w:type="spellEnd"/>
          </w:p>
        </w:tc>
      </w:tr>
      <w:tr w:rsidR="00795558" w:rsidRPr="00EC38A2" w:rsidTr="001B63B1">
        <w:trPr>
          <w:trHeight w:val="255"/>
        </w:trPr>
        <w:tc>
          <w:tcPr>
            <w:tcW w:w="252" w:type="dxa"/>
            <w:tcBorders>
              <w:top w:val="single" w:sz="4" w:space="0" w:color="auto"/>
            </w:tcBorders>
          </w:tcPr>
          <w:p w:rsidR="00795558" w:rsidRPr="00EC38A2" w:rsidRDefault="00795558" w:rsidP="001B63B1">
            <w:r w:rsidRPr="00EC38A2">
              <w:t>1</w:t>
            </w:r>
          </w:p>
        </w:tc>
        <w:tc>
          <w:tcPr>
            <w:tcW w:w="3401" w:type="dxa"/>
            <w:tcBorders>
              <w:top w:val="single" w:sz="4" w:space="0" w:color="auto"/>
            </w:tcBorders>
            <w:noWrap/>
          </w:tcPr>
          <w:p w:rsidR="00795558" w:rsidRPr="00EC38A2" w:rsidRDefault="00795558" w:rsidP="001B63B1">
            <w:r w:rsidRPr="00EC38A2">
              <w:t>Phi(</w:t>
            </w:r>
            <w:proofErr w:type="spellStart"/>
            <w:r w:rsidRPr="00EC38A2">
              <w:t>trans:col+year</w:t>
            </w:r>
            <w:proofErr w:type="spellEnd"/>
            <w:r w:rsidRPr="00EC38A2">
              <w:t>)P(</w:t>
            </w:r>
            <w:proofErr w:type="spellStart"/>
            <w:r w:rsidRPr="00EC38A2">
              <w:t>col</w:t>
            </w:r>
            <w:proofErr w:type="spellEnd"/>
            <w:r w:rsidRPr="00EC38A2">
              <w:t>*year)</w:t>
            </w:r>
          </w:p>
        </w:tc>
        <w:tc>
          <w:tcPr>
            <w:tcW w:w="1387" w:type="dxa"/>
            <w:tcBorders>
              <w:top w:val="single" w:sz="4" w:space="0" w:color="auto"/>
            </w:tcBorders>
            <w:noWrap/>
          </w:tcPr>
          <w:p w:rsidR="00795558" w:rsidRPr="00EC38A2" w:rsidRDefault="00795558" w:rsidP="001B63B1">
            <w:r w:rsidRPr="00EC38A2">
              <w:t>22111.195</w:t>
            </w:r>
          </w:p>
        </w:tc>
        <w:tc>
          <w:tcPr>
            <w:tcW w:w="971" w:type="dxa"/>
            <w:tcBorders>
              <w:top w:val="single" w:sz="4" w:space="0" w:color="auto"/>
            </w:tcBorders>
            <w:noWrap/>
          </w:tcPr>
          <w:p w:rsidR="00795558" w:rsidRPr="00EC38A2" w:rsidRDefault="00795558" w:rsidP="001B63B1">
            <w:r w:rsidRPr="00EC38A2">
              <w:t>0.000</w:t>
            </w:r>
          </w:p>
        </w:tc>
        <w:tc>
          <w:tcPr>
            <w:tcW w:w="1016" w:type="dxa"/>
            <w:tcBorders>
              <w:top w:val="single" w:sz="4" w:space="0" w:color="auto"/>
            </w:tcBorders>
            <w:noWrap/>
          </w:tcPr>
          <w:p w:rsidR="00795558" w:rsidRPr="00EC38A2" w:rsidRDefault="00795558" w:rsidP="001B63B1">
            <w:r w:rsidRPr="00EC38A2">
              <w:t>0.443</w:t>
            </w:r>
          </w:p>
        </w:tc>
        <w:tc>
          <w:tcPr>
            <w:tcW w:w="533" w:type="dxa"/>
            <w:tcBorders>
              <w:top w:val="single" w:sz="4" w:space="0" w:color="auto"/>
            </w:tcBorders>
            <w:noWrap/>
          </w:tcPr>
          <w:p w:rsidR="00795558" w:rsidRPr="00EC38A2" w:rsidRDefault="00795558" w:rsidP="001B63B1">
            <w:r w:rsidRPr="00EC38A2">
              <w:t>24</w:t>
            </w:r>
          </w:p>
        </w:tc>
        <w:tc>
          <w:tcPr>
            <w:tcW w:w="1296" w:type="dxa"/>
            <w:tcBorders>
              <w:top w:val="single" w:sz="4" w:space="0" w:color="auto"/>
            </w:tcBorders>
            <w:noWrap/>
          </w:tcPr>
          <w:p w:rsidR="00795558" w:rsidRPr="00EC38A2" w:rsidRDefault="00795558" w:rsidP="001B63B1">
            <w:r w:rsidRPr="00EC38A2">
              <w:t>518.736</w:t>
            </w:r>
          </w:p>
        </w:tc>
      </w:tr>
      <w:tr w:rsidR="00795558" w:rsidRPr="00EC38A2" w:rsidTr="001B63B1">
        <w:trPr>
          <w:trHeight w:val="255"/>
        </w:trPr>
        <w:tc>
          <w:tcPr>
            <w:tcW w:w="252" w:type="dxa"/>
          </w:tcPr>
          <w:p w:rsidR="00795558" w:rsidRPr="00EC38A2" w:rsidRDefault="00795558" w:rsidP="001B63B1">
            <w:r w:rsidRPr="00EC38A2">
              <w:t>2</w:t>
            </w:r>
          </w:p>
        </w:tc>
        <w:tc>
          <w:tcPr>
            <w:tcW w:w="3401" w:type="dxa"/>
            <w:noWrap/>
          </w:tcPr>
          <w:p w:rsidR="00795558" w:rsidRPr="00EC38A2" w:rsidRDefault="00795558" w:rsidP="001B63B1">
            <w:r w:rsidRPr="00EC38A2">
              <w:t>Phi(</w:t>
            </w:r>
            <w:proofErr w:type="spellStart"/>
            <w:r w:rsidRPr="00EC38A2">
              <w:t>trans:col:year</w:t>
            </w:r>
            <w:proofErr w:type="spellEnd"/>
            <w:r w:rsidRPr="00EC38A2">
              <w:t>)P(</w:t>
            </w:r>
            <w:proofErr w:type="spellStart"/>
            <w:r w:rsidRPr="00EC38A2">
              <w:t>col</w:t>
            </w:r>
            <w:proofErr w:type="spellEnd"/>
            <w:r w:rsidRPr="00EC38A2">
              <w:t>*year)</w:t>
            </w:r>
          </w:p>
        </w:tc>
        <w:tc>
          <w:tcPr>
            <w:tcW w:w="1387" w:type="dxa"/>
            <w:noWrap/>
          </w:tcPr>
          <w:p w:rsidR="00795558" w:rsidRPr="00EC38A2" w:rsidRDefault="00795558" w:rsidP="001B63B1">
            <w:r w:rsidRPr="00EC38A2">
              <w:t>22111.805</w:t>
            </w:r>
          </w:p>
        </w:tc>
        <w:tc>
          <w:tcPr>
            <w:tcW w:w="971" w:type="dxa"/>
            <w:noWrap/>
          </w:tcPr>
          <w:p w:rsidR="00795558" w:rsidRPr="00EC38A2" w:rsidRDefault="00795558" w:rsidP="001B63B1">
            <w:r w:rsidRPr="00EC38A2">
              <w:t>0.610</w:t>
            </w:r>
          </w:p>
        </w:tc>
        <w:tc>
          <w:tcPr>
            <w:tcW w:w="1016" w:type="dxa"/>
            <w:noWrap/>
          </w:tcPr>
          <w:p w:rsidR="00795558" w:rsidRPr="00EC38A2" w:rsidRDefault="00795558" w:rsidP="001B63B1">
            <w:r w:rsidRPr="00EC38A2">
              <w:t>0.327</w:t>
            </w:r>
          </w:p>
        </w:tc>
        <w:tc>
          <w:tcPr>
            <w:tcW w:w="533" w:type="dxa"/>
            <w:noWrap/>
          </w:tcPr>
          <w:p w:rsidR="00795558" w:rsidRPr="00EC38A2" w:rsidRDefault="00795558" w:rsidP="001B63B1">
            <w:r w:rsidRPr="00EC38A2">
              <w:t>30</w:t>
            </w:r>
          </w:p>
        </w:tc>
        <w:tc>
          <w:tcPr>
            <w:tcW w:w="1296" w:type="dxa"/>
            <w:noWrap/>
          </w:tcPr>
          <w:p w:rsidR="00795558" w:rsidRPr="00EC38A2" w:rsidRDefault="00795558" w:rsidP="001B63B1">
            <w:r w:rsidRPr="00EC38A2">
              <w:t>507.309</w:t>
            </w:r>
          </w:p>
        </w:tc>
      </w:tr>
      <w:tr w:rsidR="00795558" w:rsidRPr="00EC38A2" w:rsidTr="001B63B1">
        <w:trPr>
          <w:trHeight w:val="255"/>
        </w:trPr>
        <w:tc>
          <w:tcPr>
            <w:tcW w:w="252" w:type="dxa"/>
          </w:tcPr>
          <w:p w:rsidR="00795558" w:rsidRPr="00EC38A2" w:rsidRDefault="00795558" w:rsidP="001B63B1">
            <w:r w:rsidRPr="00EC38A2">
              <w:t>3</w:t>
            </w:r>
          </w:p>
        </w:tc>
        <w:tc>
          <w:tcPr>
            <w:tcW w:w="3401" w:type="dxa"/>
            <w:noWrap/>
          </w:tcPr>
          <w:p w:rsidR="00795558" w:rsidRPr="00EC38A2" w:rsidRDefault="00795558" w:rsidP="001B63B1">
            <w:r w:rsidRPr="00EC38A2">
              <w:t>Phi(</w:t>
            </w:r>
            <w:proofErr w:type="spellStart"/>
            <w:r w:rsidRPr="00EC38A2">
              <w:t>trans+col+year</w:t>
            </w:r>
            <w:proofErr w:type="spellEnd"/>
            <w:r w:rsidRPr="00EC38A2">
              <w:t>)P(</w:t>
            </w:r>
            <w:proofErr w:type="spellStart"/>
            <w:r w:rsidRPr="00EC38A2">
              <w:t>col</w:t>
            </w:r>
            <w:proofErr w:type="spellEnd"/>
            <w:r w:rsidRPr="00EC38A2">
              <w:t>*year)</w:t>
            </w:r>
          </w:p>
        </w:tc>
        <w:tc>
          <w:tcPr>
            <w:tcW w:w="1387" w:type="dxa"/>
            <w:noWrap/>
          </w:tcPr>
          <w:p w:rsidR="00795558" w:rsidRPr="00EC38A2" w:rsidRDefault="00795558" w:rsidP="001B63B1">
            <w:r w:rsidRPr="00EC38A2">
              <w:t>22113.379</w:t>
            </w:r>
          </w:p>
        </w:tc>
        <w:tc>
          <w:tcPr>
            <w:tcW w:w="971" w:type="dxa"/>
            <w:noWrap/>
          </w:tcPr>
          <w:p w:rsidR="00795558" w:rsidRPr="00EC38A2" w:rsidRDefault="00795558" w:rsidP="001B63B1">
            <w:r w:rsidRPr="00EC38A2">
              <w:t>2.184</w:t>
            </w:r>
          </w:p>
        </w:tc>
        <w:tc>
          <w:tcPr>
            <w:tcW w:w="1016" w:type="dxa"/>
            <w:noWrap/>
          </w:tcPr>
          <w:p w:rsidR="00795558" w:rsidRPr="00EC38A2" w:rsidRDefault="00795558" w:rsidP="001B63B1">
            <w:r w:rsidRPr="00EC38A2">
              <w:t>0.149</w:t>
            </w:r>
          </w:p>
        </w:tc>
        <w:tc>
          <w:tcPr>
            <w:tcW w:w="533" w:type="dxa"/>
            <w:noWrap/>
          </w:tcPr>
          <w:p w:rsidR="00795558" w:rsidRPr="00EC38A2" w:rsidRDefault="00795558" w:rsidP="001B63B1">
            <w:r w:rsidRPr="00EC38A2">
              <w:t>23</w:t>
            </w:r>
          </w:p>
        </w:tc>
        <w:tc>
          <w:tcPr>
            <w:tcW w:w="1296" w:type="dxa"/>
            <w:noWrap/>
          </w:tcPr>
          <w:p w:rsidR="00795558" w:rsidRPr="00EC38A2" w:rsidRDefault="00795558" w:rsidP="001B63B1">
            <w:r w:rsidRPr="00EC38A2">
              <w:t>522.926</w:t>
            </w:r>
          </w:p>
        </w:tc>
      </w:tr>
      <w:tr w:rsidR="00795558" w:rsidRPr="00EC38A2" w:rsidTr="001B63B1">
        <w:trPr>
          <w:trHeight w:val="255"/>
        </w:trPr>
        <w:tc>
          <w:tcPr>
            <w:tcW w:w="252" w:type="dxa"/>
            <w:tcBorders>
              <w:bottom w:val="single" w:sz="4" w:space="0" w:color="auto"/>
            </w:tcBorders>
          </w:tcPr>
          <w:p w:rsidR="00795558" w:rsidRPr="00EC38A2" w:rsidRDefault="00795558" w:rsidP="001B63B1">
            <w:r w:rsidRPr="00EC38A2">
              <w:t>4</w:t>
            </w:r>
          </w:p>
        </w:tc>
        <w:tc>
          <w:tcPr>
            <w:tcW w:w="3401" w:type="dxa"/>
            <w:tcBorders>
              <w:bottom w:val="single" w:sz="4" w:space="0" w:color="auto"/>
            </w:tcBorders>
            <w:noWrap/>
          </w:tcPr>
          <w:p w:rsidR="00795558" w:rsidRPr="00EC38A2" w:rsidRDefault="00795558" w:rsidP="001B63B1">
            <w:r w:rsidRPr="00EC38A2">
              <w:t>Phi(trans*</w:t>
            </w:r>
            <w:proofErr w:type="spellStart"/>
            <w:r w:rsidRPr="00EC38A2">
              <w:t>col</w:t>
            </w:r>
            <w:proofErr w:type="spellEnd"/>
            <w:r w:rsidRPr="00EC38A2">
              <w:t>*year)P(</w:t>
            </w:r>
            <w:proofErr w:type="spellStart"/>
            <w:r w:rsidRPr="00EC38A2">
              <w:t>col</w:t>
            </w:r>
            <w:proofErr w:type="spellEnd"/>
            <w:r w:rsidRPr="00EC38A2">
              <w:t>*year)</w:t>
            </w:r>
          </w:p>
        </w:tc>
        <w:tc>
          <w:tcPr>
            <w:tcW w:w="1387" w:type="dxa"/>
            <w:tcBorders>
              <w:bottom w:val="single" w:sz="4" w:space="0" w:color="auto"/>
            </w:tcBorders>
            <w:noWrap/>
          </w:tcPr>
          <w:p w:rsidR="00795558" w:rsidRPr="00EC38A2" w:rsidRDefault="00795558" w:rsidP="001B63B1">
            <w:r w:rsidRPr="00EC38A2">
              <w:t>22114.596</w:t>
            </w:r>
          </w:p>
        </w:tc>
        <w:tc>
          <w:tcPr>
            <w:tcW w:w="971" w:type="dxa"/>
            <w:tcBorders>
              <w:bottom w:val="single" w:sz="4" w:space="0" w:color="auto"/>
            </w:tcBorders>
            <w:noWrap/>
          </w:tcPr>
          <w:p w:rsidR="00795558" w:rsidRPr="00EC38A2" w:rsidRDefault="00795558" w:rsidP="001B63B1">
            <w:r w:rsidRPr="00EC38A2">
              <w:t>3.401</w:t>
            </w:r>
          </w:p>
        </w:tc>
        <w:tc>
          <w:tcPr>
            <w:tcW w:w="1016" w:type="dxa"/>
            <w:tcBorders>
              <w:bottom w:val="single" w:sz="4" w:space="0" w:color="auto"/>
            </w:tcBorders>
            <w:noWrap/>
          </w:tcPr>
          <w:p w:rsidR="00795558" w:rsidRPr="00EC38A2" w:rsidRDefault="00795558" w:rsidP="001B63B1">
            <w:r w:rsidRPr="00EC38A2">
              <w:t>0.081</w:t>
            </w:r>
          </w:p>
        </w:tc>
        <w:tc>
          <w:tcPr>
            <w:tcW w:w="533" w:type="dxa"/>
            <w:tcBorders>
              <w:bottom w:val="single" w:sz="4" w:space="0" w:color="auto"/>
            </w:tcBorders>
            <w:noWrap/>
          </w:tcPr>
          <w:p w:rsidR="00795558" w:rsidRPr="00EC38A2" w:rsidRDefault="00795558" w:rsidP="001B63B1">
            <w:r w:rsidRPr="00EC38A2">
              <w:t>38</w:t>
            </w:r>
          </w:p>
        </w:tc>
        <w:tc>
          <w:tcPr>
            <w:tcW w:w="1296" w:type="dxa"/>
            <w:tcBorders>
              <w:bottom w:val="single" w:sz="4" w:space="0" w:color="auto"/>
            </w:tcBorders>
            <w:noWrap/>
          </w:tcPr>
          <w:p w:rsidR="00795558" w:rsidRPr="00EC38A2" w:rsidRDefault="00795558" w:rsidP="001B63B1">
            <w:r w:rsidRPr="00EC38A2">
              <w:t>494.040</w:t>
            </w:r>
          </w:p>
        </w:tc>
      </w:tr>
    </w:tbl>
    <w:p w:rsidR="00795558" w:rsidRPr="00EC38A2" w:rsidRDefault="00795558" w:rsidP="00795558"/>
    <w:p w:rsidR="00795558" w:rsidRPr="00EC38A2" w:rsidRDefault="00795558" w:rsidP="00795558"/>
    <w:p w:rsidR="00795558" w:rsidRPr="00EC38A2" w:rsidRDefault="00795558" w:rsidP="00795558">
      <w:r w:rsidRPr="00EC38A2">
        <w:t xml:space="preserve">Model selection favoured a model with different proportions of transients in the two colonies, but additive effects of colony and year on survival (Model 1, Table 1). The recapture rate depended on interactive effects of year and colony. The second best model (Model 2) was nearly as well supported as the best model and allowed for an interaction between year and colony on survival. With temporal variation in recapture probabilities, the survival estimates for the last year of the study can be unreliable, and I therefore only present survival up to the 2006 - 2007 </w:t>
      </w:r>
      <w:proofErr w:type="gramStart"/>
      <w:r w:rsidRPr="00EC38A2">
        <w:t>interval</w:t>
      </w:r>
      <w:proofErr w:type="gramEnd"/>
      <w:r w:rsidRPr="00EC38A2">
        <w:t xml:space="preserve">. Both models yielded similar survival rates (Fig. 1 shows the estimates from Model 1). </w:t>
      </w:r>
      <w:r w:rsidRPr="00EC38A2">
        <w:lastRenderedPageBreak/>
        <w:t xml:space="preserve">At both colonies, survival declined after 2003. The recapture rates varied from 0.51 to 0.59 on </w:t>
      </w:r>
      <w:proofErr w:type="spellStart"/>
      <w:r w:rsidRPr="00EC38A2">
        <w:t>Dassen</w:t>
      </w:r>
      <w:proofErr w:type="spellEnd"/>
      <w:r w:rsidRPr="00EC38A2">
        <w:t xml:space="preserve"> Island and from 0.16 to 0.48 on </w:t>
      </w:r>
      <w:proofErr w:type="spellStart"/>
      <w:r w:rsidRPr="00EC38A2">
        <w:t>Robben</w:t>
      </w:r>
      <w:proofErr w:type="spellEnd"/>
      <w:r w:rsidRPr="00EC38A2">
        <w:t xml:space="preserve"> Island. The proportion of transients was estimated to be 8.2% on </w:t>
      </w:r>
      <w:proofErr w:type="spellStart"/>
      <w:r w:rsidRPr="00EC38A2">
        <w:t>Dassen</w:t>
      </w:r>
      <w:proofErr w:type="spellEnd"/>
      <w:r w:rsidRPr="00EC38A2">
        <w:t xml:space="preserve"> Island and 27.3% on </w:t>
      </w:r>
      <w:proofErr w:type="spellStart"/>
      <w:r w:rsidRPr="00EC38A2">
        <w:t>Robben</w:t>
      </w:r>
      <w:proofErr w:type="spellEnd"/>
      <w:r w:rsidRPr="00EC38A2">
        <w:t xml:space="preserve"> Island.</w:t>
      </w:r>
    </w:p>
    <w:p w:rsidR="00795558" w:rsidRPr="00EC38A2" w:rsidRDefault="00795558" w:rsidP="00795558"/>
    <w:p w:rsidR="00795558" w:rsidRPr="00EC38A2" w:rsidRDefault="00795558" w:rsidP="00795558">
      <w:r w:rsidRPr="00EC38A2">
        <w:t xml:space="preserve">While I think these results need to be treated carefully, I believe that the observed trend in survival is real. Extreme heterogeneity in recapture rates can cause apparent time trends in survival </w:t>
      </w:r>
      <w:r w:rsidR="00B32949" w:rsidRPr="00EC38A2">
        <w:fldChar w:fldCharType="begin"/>
      </w:r>
      <w:r w:rsidRPr="00EC38A2">
        <w:instrText xml:space="preserve"> ADDIN EN.CITE &lt;EndNote&gt;&lt;Cite&gt;&lt;Author&gt;Devineau&lt;/Author&gt;&lt;Year&gt;2006&lt;/Year&gt;&lt;RecNum&gt;4555&lt;/RecNum&gt;&lt;record&gt;&lt;database name="Litres_en8.enl" path="C:\res\literatur\Litres_en8.enl"&gt;Litres_en8.enl&lt;/database&gt;&lt;source-app name="EndNote" version="8.0"&gt;EndNote&lt;/source-app&gt;&lt;rec-number&gt;4555&lt;/rec-number&gt;&lt;ref-type name="Journal Article"&gt;17&lt;/ref-type&gt;&lt;contributors&gt;&lt;authors&gt;&lt;author&gt;&lt;style face="normal" font="default" size="100%"&gt;Devineau, O.&lt;/style&gt;&lt;/author&gt;&lt;author&gt;&lt;style face="normal" font="default" size="100%"&gt;Choquet, R.&lt;/style&gt;&lt;/author&gt;&lt;author&gt;&lt;style face="normal" font="default" size="100%"&gt;Lebreton, J. D.&lt;/style&gt;&lt;/author&gt;&lt;/authors&gt;&lt;/contributors&gt;&lt;titles&gt;&lt;title&gt;&lt;style face="normal" font="default" size="100%"&gt;Planning capture-recapture studies: Straightforward precision, bias, and power calculations&lt;/style&gt;&lt;/title&gt;&lt;secondary-title&gt;&lt;style face="normal" font="default" size="100%"&gt;Wildlife Society Bulletin&lt;/style&gt;&lt;/secondary-title&gt;&lt;/titles&gt;&lt;periodical&gt;&lt;full-title&gt;&lt;style face="normal" font="default" size="100%"&gt;Wildlife Society Bulletin&lt;/style&gt;&lt;/full-title&gt;&lt;/periodical&gt;&lt;pages&gt;&lt;style face="normal" font="default" size="100%"&gt;1028-1035&lt;/style&gt;&lt;/pages&gt;&lt;volume&gt;&lt;style face="normal" font="default" size="100%"&gt;34&lt;/style&gt;&lt;/volume&gt;&lt;number&gt;&lt;style face="normal" font="default" size="100%"&gt;4&lt;/style&gt;&lt;/number&gt;&lt;keywords&gt;&lt;keyword&gt;&lt;style face="normal" font="default" size="100%"&gt;bias&lt;/style&gt;&lt;/keyword&gt;&lt;keyword&gt;&lt;style face="normal" font="default" size="100%"&gt;capture-recapture&lt;/style&gt;&lt;/keyword&gt;&lt;keyword&gt;&lt;style face="normal" font="default" size="100%"&gt;conservation&lt;/style&gt;&lt;/keyword&gt;&lt;keyword&gt;&lt;style face="normal" font="default" size="100%"&gt;expected values&lt;/style&gt;&lt;/keyword&gt;&lt;keyword&gt;&lt;style face="normal" font="default" size="100%"&gt;management&lt;/style&gt;&lt;/keyword&gt;&lt;keyword&gt;&lt;style face="normal" font="default" size="100%"&gt;M-SURGE&lt;/style&gt;&lt;/keyword&gt;&lt;keyword&gt;&lt;style face="normal" font="default" size="100%"&gt;power&lt;/style&gt;&lt;/keyword&gt;&lt;keyword&gt;&lt;style face="normal" font="default" size="100%"&gt;precision&lt;/style&gt;&lt;/keyword&gt;&lt;keyword&gt;&lt;style face="normal" font="default" size="100%"&gt;wildlife&lt;/style&gt;&lt;/keyword&gt;&lt;keyword&gt;&lt;style face="normal" font="default" size="100%"&gt;Band reporting rates&lt;/style&gt;&lt;/keyword&gt;&lt;keyword&gt;&lt;style face="normal" font="default" size="100%"&gt;compensatory mortality&lt;/style&gt;&lt;/keyword&gt;&lt;keyword&gt;&lt;style face="normal" font="default" size="100%"&gt;models&lt;/style&gt;&lt;/keyword&gt;&lt;keyword&gt;&lt;style face="normal" font="default" size="100%"&gt;population&lt;/style&gt;&lt;/keyword&gt;&lt;keyword&gt;&lt;style face="normal" font="default" size="100%"&gt;heterogeneity&lt;/style&gt;&lt;/keyword&gt;&lt;keyword&gt;&lt;style face="normal" font="default" size="100%"&gt;survival&lt;/style&gt;&lt;/keyword&gt;&lt;keyword&gt;&lt;style face="normal" font="default" size="100%"&gt;mallards&lt;/style&gt;&lt;/keyword&gt;&lt;keyword&gt;&lt;style face="normal" font="default" size="100%"&gt;hypotheses&lt;/style&gt;&lt;/keyword&gt;&lt;/keywords&gt;&lt;dates&gt;&lt;year&gt;&lt;style face="normal" font="default" size="100%"&gt;2006&lt;/style&gt;&lt;/year&gt;&lt;pub-dates&gt;&lt;date&gt;&lt;style face="normal" font="default" size="100%"&gt;Nov&lt;/style&gt;&lt;/date&gt;&lt;/pub-dates&gt;&lt;/dates&gt;&lt;accession-num&gt;&lt;style face="normal" font="default" size="100%"&gt;ISI:000243173600017&lt;/style&gt;&lt;/accession-num&gt;&lt;urls&gt;&lt;related-urls&gt;&lt;url&gt;&lt;style face="normal" font="default" size="100%"&gt;file://C:%5Cres%5Cliteratur%5Cpdfartikel%5Calle%5CDevineau_etal2006.pdf  &lt;/style&gt;&lt;/url&gt;&lt;/related-urls&gt;&lt;/urls&gt;&lt;/record&gt;&lt;/Cite&gt;&lt;/EndNote&gt;</w:instrText>
      </w:r>
      <w:r w:rsidR="00B32949" w:rsidRPr="00EC38A2">
        <w:fldChar w:fldCharType="separate"/>
      </w:r>
      <w:r w:rsidRPr="00EC38A2">
        <w:t>(Devineau, Choquet &amp; Lebreton, 2006)</w:t>
      </w:r>
      <w:r w:rsidR="00B32949" w:rsidRPr="00EC38A2">
        <w:fldChar w:fldCharType="end"/>
      </w:r>
      <w:r w:rsidRPr="00EC38A2">
        <w:t xml:space="preserve">. However, this seems only to happen if the recapture rates are very low and would not lead to such steep trends as observed here. The estimate of </w:t>
      </w:r>
      <w:r w:rsidRPr="00EC38A2">
        <w:rPr>
          <w:position w:val="-6"/>
        </w:rPr>
        <w:object w:dxaOrig="180" w:dyaOrig="440">
          <v:shape id="_x0000_i1027" type="#_x0000_t75" style="width:9.5pt;height:21.75pt" o:ole="">
            <v:imagedata r:id="rId6" o:title=""/>
          </v:shape>
          <o:OLEObject Type="Embed" ProgID="Equation.3" ShapeID="_x0000_i1027" DrawAspect="Content" ObjectID="_1352708862" r:id="rId9"/>
        </w:object>
      </w:r>
      <w:r w:rsidRPr="00EC38A2">
        <w:t xml:space="preserve"> did not indicate extreme heterogeneity, and the recapture rates were reasonably high to give some degree of confidence in the results. In any case, heterogeneity in recapture rates needs to be further investigated.</w:t>
      </w:r>
    </w:p>
    <w:p w:rsidR="00795558" w:rsidRPr="00EC38A2" w:rsidRDefault="00795558" w:rsidP="00795558"/>
    <w:p w:rsidR="00795558" w:rsidRPr="00EC38A2" w:rsidRDefault="00795558" w:rsidP="00795558"/>
    <w:p w:rsidR="00795558" w:rsidRPr="00EC38A2" w:rsidRDefault="00795558" w:rsidP="00795558">
      <w:r>
        <w:rPr>
          <w:noProof/>
          <w:lang w:val="en-ZA" w:eastAsia="en-ZA"/>
        </w:rPr>
        <w:drawing>
          <wp:inline distT="0" distB="0" distL="0" distR="0">
            <wp:extent cx="3992245" cy="4521835"/>
            <wp:effectExtent l="19050" t="0" r="0" b="0"/>
            <wp:docPr id="4" name="Picture 4" descr="survival_mod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ival_model1"/>
                    <pic:cNvPicPr>
                      <a:picLocks noChangeAspect="1" noChangeArrowheads="1"/>
                    </pic:cNvPicPr>
                  </pic:nvPicPr>
                  <pic:blipFill>
                    <a:blip r:embed="rId10" cstate="print"/>
                    <a:srcRect/>
                    <a:stretch>
                      <a:fillRect/>
                    </a:stretch>
                  </pic:blipFill>
                  <pic:spPr bwMode="auto">
                    <a:xfrm>
                      <a:off x="0" y="0"/>
                      <a:ext cx="3992245" cy="4521835"/>
                    </a:xfrm>
                    <a:prstGeom prst="rect">
                      <a:avLst/>
                    </a:prstGeom>
                    <a:noFill/>
                    <a:ln w="9525">
                      <a:noFill/>
                      <a:miter lim="800000"/>
                      <a:headEnd/>
                      <a:tailEnd/>
                    </a:ln>
                  </pic:spPr>
                </pic:pic>
              </a:graphicData>
            </a:graphic>
          </wp:inline>
        </w:drawing>
      </w:r>
    </w:p>
    <w:p w:rsidR="00795558" w:rsidRPr="00EC38A2" w:rsidRDefault="00795558" w:rsidP="00795558">
      <w:r w:rsidRPr="00EC38A2">
        <w:t xml:space="preserve">Figure 1: </w:t>
      </w:r>
      <w:r>
        <w:t>Survival estimates for African P</w:t>
      </w:r>
      <w:r w:rsidRPr="00EC38A2">
        <w:t xml:space="preserve">enguins on </w:t>
      </w:r>
      <w:proofErr w:type="spellStart"/>
      <w:r w:rsidRPr="00EC38A2">
        <w:t>Dassen</w:t>
      </w:r>
      <w:proofErr w:type="spellEnd"/>
      <w:r w:rsidRPr="00EC38A2">
        <w:t xml:space="preserve"> and </w:t>
      </w:r>
      <w:proofErr w:type="spellStart"/>
      <w:r w:rsidRPr="00EC38A2">
        <w:t>Robben</w:t>
      </w:r>
      <w:proofErr w:type="spellEnd"/>
      <w:r w:rsidRPr="00EC38A2">
        <w:t xml:space="preserve"> islands, obtained from Model 1, Table 1. The x-axis indicates the starting year of the relevant survival interval. For example, the first estimate corresponds to the year 2002 – 2003. The vertical lines represent 95% confidence intervals.</w:t>
      </w:r>
    </w:p>
    <w:p w:rsidR="00795558" w:rsidRPr="00EC38A2" w:rsidRDefault="00795558" w:rsidP="00795558"/>
    <w:p w:rsidR="00795558" w:rsidRPr="00EC38A2" w:rsidRDefault="00795558" w:rsidP="00795558"/>
    <w:p w:rsidR="00795558" w:rsidRPr="00EC38A2" w:rsidRDefault="00795558" w:rsidP="00795558">
      <w:pPr>
        <w:rPr>
          <w:b/>
        </w:rPr>
      </w:pPr>
      <w:r w:rsidRPr="00EC38A2">
        <w:rPr>
          <w:b/>
        </w:rPr>
        <w:t>References</w:t>
      </w:r>
    </w:p>
    <w:p w:rsidR="00795558" w:rsidRPr="00EC38A2" w:rsidRDefault="00795558" w:rsidP="00795558"/>
    <w:p w:rsidR="00795558" w:rsidRPr="00EC38A2" w:rsidRDefault="00B32949" w:rsidP="00795558">
      <w:pPr>
        <w:ind w:left="288" w:hanging="288"/>
      </w:pPr>
      <w:r w:rsidRPr="00EC38A2">
        <w:fldChar w:fldCharType="begin"/>
      </w:r>
      <w:r w:rsidR="00795558" w:rsidRPr="00EC38A2">
        <w:instrText xml:space="preserve"> ADDIN EN.REFLIST </w:instrText>
      </w:r>
      <w:r w:rsidRPr="00EC38A2">
        <w:fldChar w:fldCharType="separate"/>
      </w:r>
      <w:r w:rsidR="00795558" w:rsidRPr="00EC38A2">
        <w:t xml:space="preserve">Burnham, K.P. &amp; Anderson, D.R. (2002) </w:t>
      </w:r>
      <w:r w:rsidR="00795558" w:rsidRPr="00EC38A2">
        <w:rPr>
          <w:i/>
        </w:rPr>
        <w:t>Model selection and multimodel inference: a practical information-theoretic approach</w:t>
      </w:r>
      <w:r w:rsidR="00795558" w:rsidRPr="00EC38A2">
        <w:t>, 2nd edn. Springer, New York.</w:t>
      </w:r>
    </w:p>
    <w:p w:rsidR="00795558" w:rsidRPr="00EC38A2" w:rsidRDefault="00795558" w:rsidP="00795558">
      <w:pPr>
        <w:ind w:left="288" w:hanging="288"/>
      </w:pPr>
      <w:r w:rsidRPr="00EC38A2">
        <w:t xml:space="preserve">Devineau, O., Choquet, R., &amp; Lebreton, J.D. (2006) Planning capture-recapture studies: Straightforward precision, bias, and power calculations. </w:t>
      </w:r>
      <w:r w:rsidRPr="00EC38A2">
        <w:rPr>
          <w:i/>
        </w:rPr>
        <w:t>Wildlife Society Bulletin</w:t>
      </w:r>
      <w:r w:rsidRPr="00EC38A2">
        <w:t xml:space="preserve">, </w:t>
      </w:r>
      <w:r w:rsidRPr="00EC38A2">
        <w:rPr>
          <w:b/>
        </w:rPr>
        <w:t>34</w:t>
      </w:r>
      <w:r w:rsidRPr="00EC38A2">
        <w:t>, 1028-1035.</w:t>
      </w:r>
    </w:p>
    <w:p w:rsidR="00795558" w:rsidRPr="00EC38A2" w:rsidRDefault="00795558" w:rsidP="00795558">
      <w:pPr>
        <w:ind w:left="288" w:hanging="288"/>
      </w:pPr>
      <w:r w:rsidRPr="00EC38A2">
        <w:t xml:space="preserve">Hargrove, J.W. &amp; Borland, C.H. (1994) Pooled Population Parameter Estimates from Mark-Recapture Data. </w:t>
      </w:r>
      <w:r w:rsidRPr="00EC38A2">
        <w:rPr>
          <w:i/>
        </w:rPr>
        <w:t>Biometrics</w:t>
      </w:r>
      <w:r w:rsidRPr="00EC38A2">
        <w:t xml:space="preserve">, </w:t>
      </w:r>
      <w:r w:rsidRPr="00EC38A2">
        <w:rPr>
          <w:b/>
        </w:rPr>
        <w:t>50</w:t>
      </w:r>
      <w:r w:rsidRPr="00EC38A2">
        <w:t>, 1129-1141.</w:t>
      </w:r>
    </w:p>
    <w:p w:rsidR="00795558" w:rsidRPr="00EC38A2" w:rsidRDefault="00795558" w:rsidP="00795558">
      <w:pPr>
        <w:ind w:left="288" w:hanging="288"/>
      </w:pPr>
      <w:r w:rsidRPr="00EC38A2">
        <w:t xml:space="preserve">Lebreton, J.D., Burnham, K.P., Clobert, J., &amp; Anderson, D.R. (1992) Modeling survival and testing biological hypotheses using marked animals: a unified approach with case studies. </w:t>
      </w:r>
      <w:r w:rsidRPr="00EC38A2">
        <w:rPr>
          <w:i/>
        </w:rPr>
        <w:t>Ecological Monographs</w:t>
      </w:r>
      <w:r w:rsidRPr="00EC38A2">
        <w:t xml:space="preserve">, </w:t>
      </w:r>
      <w:r w:rsidRPr="00EC38A2">
        <w:rPr>
          <w:b/>
        </w:rPr>
        <w:t>62</w:t>
      </w:r>
      <w:r w:rsidRPr="00EC38A2">
        <w:t>, 67-118.</w:t>
      </w:r>
    </w:p>
    <w:p w:rsidR="00795558" w:rsidRPr="00EC38A2" w:rsidRDefault="00795558" w:rsidP="00795558">
      <w:pPr>
        <w:ind w:left="288" w:hanging="288"/>
      </w:pPr>
      <w:r w:rsidRPr="00EC38A2">
        <w:t>Pradel, R., Hines, J.E., Lebreton, J.-D., &amp; Nichols, J.D. (1996). Capture-recapture survival models taking into account of transients, Rep. No. 96-03. Unite de biometrie, Université Montpellier II, Montpellier.</w:t>
      </w:r>
    </w:p>
    <w:p w:rsidR="00795558" w:rsidRPr="00EC38A2" w:rsidRDefault="00795558" w:rsidP="00795558">
      <w:pPr>
        <w:ind w:left="288" w:hanging="288"/>
      </w:pPr>
      <w:r w:rsidRPr="00EC38A2">
        <w:t xml:space="preserve">White, G.C. &amp; Burnham, K.P. (1999) Program MARK: Survival estimation from populations of marked animals. </w:t>
      </w:r>
      <w:r w:rsidRPr="00EC38A2">
        <w:rPr>
          <w:i/>
        </w:rPr>
        <w:t>Bird Study</w:t>
      </w:r>
      <w:r w:rsidRPr="00EC38A2">
        <w:t xml:space="preserve">, </w:t>
      </w:r>
      <w:r w:rsidRPr="00EC38A2">
        <w:rPr>
          <w:b/>
        </w:rPr>
        <w:t>46</w:t>
      </w:r>
      <w:r w:rsidRPr="00EC38A2">
        <w:t>, S120-139.</w:t>
      </w:r>
    </w:p>
    <w:p w:rsidR="00795558" w:rsidRPr="00EC38A2" w:rsidRDefault="00795558" w:rsidP="00795558"/>
    <w:p w:rsidR="00795558" w:rsidRPr="00EC38A2" w:rsidRDefault="00B32949" w:rsidP="00795558">
      <w:pPr>
        <w:ind w:left="720" w:hanging="720"/>
      </w:pPr>
      <w:r w:rsidRPr="00EC38A2">
        <w:fldChar w:fldCharType="end"/>
      </w:r>
    </w:p>
    <w:p w:rsidR="00795558" w:rsidRPr="00EC38A2" w:rsidRDefault="00795558" w:rsidP="00795558">
      <w:pPr>
        <w:ind w:left="720" w:hanging="720"/>
      </w:pPr>
    </w:p>
    <w:p w:rsidR="00795558" w:rsidRPr="00EC38A2" w:rsidRDefault="00795558" w:rsidP="00795558">
      <w:pPr>
        <w:ind w:left="720" w:hanging="720"/>
        <w:rPr>
          <w:b/>
        </w:rPr>
      </w:pPr>
      <w:r w:rsidRPr="00EC38A2">
        <w:rPr>
          <w:b/>
        </w:rPr>
        <w:br w:type="page"/>
      </w:r>
      <w:r w:rsidRPr="00EC38A2">
        <w:rPr>
          <w:b/>
        </w:rPr>
        <w:lastRenderedPageBreak/>
        <w:t>Appendix 1</w:t>
      </w:r>
    </w:p>
    <w:p w:rsidR="00795558" w:rsidRPr="00EC38A2" w:rsidRDefault="00795558" w:rsidP="00795558">
      <w:pPr>
        <w:ind w:left="720" w:hanging="720"/>
        <w:rPr>
          <w:b/>
        </w:rPr>
      </w:pPr>
    </w:p>
    <w:p w:rsidR="00795558" w:rsidRPr="00EC38A2" w:rsidRDefault="00795558" w:rsidP="00795558">
      <w:r w:rsidRPr="00EC38A2">
        <w:t>Table A1: Survival and recapture estimates from Model 1, Table 1. In addition to the estimates, the table shows standard errors (SE) and lower (LCI) and upper (UCI) bounds of the confidence interval. Recapture estimates for 2008, and thus survival estimates for 2007 – 2008 are unreliable!</w:t>
      </w:r>
    </w:p>
    <w:p w:rsidR="00795558" w:rsidRPr="00EC38A2" w:rsidRDefault="00795558" w:rsidP="00795558">
      <w:pPr>
        <w:ind w:left="720" w:hanging="720"/>
        <w:rPr>
          <w:b/>
        </w:rPr>
      </w:pPr>
    </w:p>
    <w:tbl>
      <w:tblPr>
        <w:tblW w:w="6111" w:type="dxa"/>
        <w:tblInd w:w="93" w:type="dxa"/>
        <w:tblLook w:val="0000"/>
      </w:tblPr>
      <w:tblGrid>
        <w:gridCol w:w="2175"/>
        <w:gridCol w:w="1056"/>
        <w:gridCol w:w="960"/>
        <w:gridCol w:w="960"/>
        <w:gridCol w:w="960"/>
      </w:tblGrid>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tc>
        <w:tc>
          <w:tcPr>
            <w:tcW w:w="1056" w:type="dxa"/>
            <w:tcBorders>
              <w:top w:val="nil"/>
              <w:left w:val="nil"/>
              <w:bottom w:val="nil"/>
              <w:right w:val="nil"/>
            </w:tcBorders>
            <w:shd w:val="clear" w:color="auto" w:fill="auto"/>
            <w:noWrap/>
            <w:vAlign w:val="bottom"/>
          </w:tcPr>
          <w:p w:rsidR="00795558" w:rsidRPr="00EC38A2" w:rsidRDefault="00795558" w:rsidP="001B63B1">
            <w:r w:rsidRPr="00EC38A2">
              <w:t>Estimate</w:t>
            </w:r>
          </w:p>
        </w:tc>
        <w:tc>
          <w:tcPr>
            <w:tcW w:w="960" w:type="dxa"/>
            <w:tcBorders>
              <w:top w:val="nil"/>
              <w:left w:val="nil"/>
              <w:bottom w:val="nil"/>
              <w:right w:val="nil"/>
            </w:tcBorders>
            <w:shd w:val="clear" w:color="auto" w:fill="auto"/>
            <w:noWrap/>
            <w:vAlign w:val="bottom"/>
          </w:tcPr>
          <w:p w:rsidR="00795558" w:rsidRPr="00EC38A2" w:rsidRDefault="00795558" w:rsidP="001B63B1">
            <w:r w:rsidRPr="00EC38A2">
              <w:t>SE</w:t>
            </w:r>
          </w:p>
        </w:tc>
        <w:tc>
          <w:tcPr>
            <w:tcW w:w="960" w:type="dxa"/>
            <w:tcBorders>
              <w:top w:val="nil"/>
              <w:left w:val="nil"/>
              <w:bottom w:val="nil"/>
              <w:right w:val="nil"/>
            </w:tcBorders>
            <w:shd w:val="clear" w:color="auto" w:fill="auto"/>
            <w:noWrap/>
            <w:vAlign w:val="bottom"/>
          </w:tcPr>
          <w:p w:rsidR="00795558" w:rsidRPr="00EC38A2" w:rsidRDefault="00795558" w:rsidP="001B63B1">
            <w:r w:rsidRPr="00EC38A2">
              <w:t>LCI</w:t>
            </w:r>
          </w:p>
        </w:tc>
        <w:tc>
          <w:tcPr>
            <w:tcW w:w="960" w:type="dxa"/>
            <w:tcBorders>
              <w:top w:val="nil"/>
              <w:left w:val="nil"/>
              <w:bottom w:val="nil"/>
              <w:right w:val="nil"/>
            </w:tcBorders>
            <w:shd w:val="clear" w:color="auto" w:fill="auto"/>
            <w:noWrap/>
            <w:vAlign w:val="bottom"/>
          </w:tcPr>
          <w:p w:rsidR="00795558" w:rsidRPr="00EC38A2" w:rsidRDefault="00795558" w:rsidP="001B63B1">
            <w:r w:rsidRPr="00EC38A2">
              <w:t>UCI</w:t>
            </w:r>
          </w:p>
        </w:tc>
      </w:tr>
      <w:tr w:rsidR="00795558" w:rsidRPr="00EC38A2" w:rsidTr="001B63B1">
        <w:trPr>
          <w:trHeight w:val="255"/>
        </w:trPr>
        <w:tc>
          <w:tcPr>
            <w:tcW w:w="3231" w:type="dxa"/>
            <w:gridSpan w:val="2"/>
            <w:tcBorders>
              <w:top w:val="nil"/>
              <w:left w:val="nil"/>
              <w:bottom w:val="nil"/>
              <w:right w:val="nil"/>
            </w:tcBorders>
            <w:shd w:val="clear" w:color="auto" w:fill="auto"/>
            <w:noWrap/>
            <w:vAlign w:val="bottom"/>
          </w:tcPr>
          <w:p w:rsidR="00795558" w:rsidRPr="00EC38A2" w:rsidRDefault="00795558" w:rsidP="001B63B1">
            <w:r w:rsidRPr="00EC38A2">
              <w:t xml:space="preserve">Survival, </w:t>
            </w:r>
            <w:proofErr w:type="spellStart"/>
            <w:r w:rsidRPr="00EC38A2">
              <w:t>Dassen</w:t>
            </w:r>
            <w:proofErr w:type="spellEnd"/>
            <w:r w:rsidRPr="00EC38A2">
              <w:t xml:space="preserve"> Island</w:t>
            </w:r>
          </w:p>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2002 – 2003</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0.697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0.662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0.729</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2003 – 2004</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0.682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0.640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0.721</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2004 – 2005</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0.561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0.511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0.610</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2005 – 2006</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0.535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0.473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0.597</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2006 – 2007</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0.462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0.399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0.526</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2007 – 2008</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0.307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0.255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0.363</w:t>
            </w:r>
          </w:p>
        </w:tc>
      </w:tr>
      <w:tr w:rsidR="00795558" w:rsidRPr="00EC38A2" w:rsidTr="001B63B1">
        <w:trPr>
          <w:trHeight w:val="255"/>
        </w:trPr>
        <w:tc>
          <w:tcPr>
            <w:tcW w:w="3231" w:type="dxa"/>
            <w:gridSpan w:val="2"/>
            <w:tcBorders>
              <w:top w:val="nil"/>
              <w:left w:val="nil"/>
              <w:bottom w:val="nil"/>
              <w:right w:val="nil"/>
            </w:tcBorders>
            <w:shd w:val="clear" w:color="auto" w:fill="auto"/>
            <w:noWrap/>
            <w:vAlign w:val="bottom"/>
          </w:tcPr>
          <w:p w:rsidR="00795558" w:rsidRPr="00EC38A2" w:rsidRDefault="00795558" w:rsidP="001B63B1">
            <w:r w:rsidRPr="00EC38A2">
              <w:t xml:space="preserve">Survival, </w:t>
            </w:r>
            <w:proofErr w:type="spellStart"/>
            <w:r w:rsidRPr="00EC38A2">
              <w:t>Robben</w:t>
            </w:r>
            <w:proofErr w:type="spellEnd"/>
            <w:r w:rsidRPr="00EC38A2">
              <w:t xml:space="preserve"> Island</w:t>
            </w:r>
          </w:p>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2002 – 2003</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0.765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0.731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0.795</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2003 – 2004</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0.752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0.714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0.787</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2004 – 2005</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0.644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0.593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0.691</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2005 – 2006</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0.620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0.562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0.675</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2006 – 2007</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0.548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0.487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0.608</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2007 – 2008</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0.385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0.334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0.438</w:t>
            </w:r>
          </w:p>
        </w:tc>
      </w:tr>
      <w:tr w:rsidR="00795558" w:rsidRPr="00EC38A2" w:rsidTr="001B63B1">
        <w:trPr>
          <w:trHeight w:val="255"/>
        </w:trPr>
        <w:tc>
          <w:tcPr>
            <w:tcW w:w="3231" w:type="dxa"/>
            <w:gridSpan w:val="2"/>
            <w:tcBorders>
              <w:top w:val="nil"/>
              <w:left w:val="nil"/>
              <w:bottom w:val="nil"/>
              <w:right w:val="nil"/>
            </w:tcBorders>
            <w:shd w:val="clear" w:color="auto" w:fill="auto"/>
            <w:noWrap/>
            <w:vAlign w:val="bottom"/>
          </w:tcPr>
          <w:p w:rsidR="00795558" w:rsidRPr="00EC38A2" w:rsidRDefault="00795558" w:rsidP="001B63B1">
            <w:r w:rsidRPr="00EC38A2">
              <w:t xml:space="preserve">Recapture rate, </w:t>
            </w:r>
            <w:proofErr w:type="spellStart"/>
            <w:r w:rsidRPr="00EC38A2">
              <w:t>Dassen</w:t>
            </w:r>
            <w:proofErr w:type="spellEnd"/>
            <w:r w:rsidRPr="00EC38A2">
              <w:t xml:space="preserve"> Island</w:t>
            </w:r>
          </w:p>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2002</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0.584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0.547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0.621</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2003</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0.517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0.479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0.554</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2004</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0.532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0.489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0.574</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2005</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0.511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0.456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0.565</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2006</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0.591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0.514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0.663</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2007</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0.521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0.051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0.422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0.619</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2008</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0.913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0.143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0.238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0.997</w:t>
            </w:r>
          </w:p>
        </w:tc>
      </w:tr>
      <w:tr w:rsidR="00795558" w:rsidRPr="00EC38A2" w:rsidTr="001B63B1">
        <w:trPr>
          <w:trHeight w:val="255"/>
        </w:trPr>
        <w:tc>
          <w:tcPr>
            <w:tcW w:w="3231" w:type="dxa"/>
            <w:gridSpan w:val="2"/>
            <w:tcBorders>
              <w:top w:val="nil"/>
              <w:left w:val="nil"/>
              <w:bottom w:val="nil"/>
              <w:right w:val="nil"/>
            </w:tcBorders>
            <w:shd w:val="clear" w:color="auto" w:fill="auto"/>
            <w:noWrap/>
            <w:vAlign w:val="bottom"/>
          </w:tcPr>
          <w:p w:rsidR="00795558" w:rsidRPr="00EC38A2" w:rsidRDefault="00795558" w:rsidP="001B63B1">
            <w:r w:rsidRPr="00EC38A2">
              <w:t xml:space="preserve">Recapture rate, </w:t>
            </w:r>
            <w:proofErr w:type="spellStart"/>
            <w:r w:rsidRPr="00EC38A2">
              <w:t>Robben</w:t>
            </w:r>
            <w:proofErr w:type="spellEnd"/>
            <w:r w:rsidRPr="00EC38A2">
              <w:t xml:space="preserve"> Island</w:t>
            </w:r>
          </w:p>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2002</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0.179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0.126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0.247</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2003</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0.280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0.247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0.315</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2004</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0.277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0.246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0.310</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2005</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0.165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0.141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0.193</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2006</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0.398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0.350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0.447</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2007</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0.477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0.412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0.543</w:t>
            </w:r>
          </w:p>
        </w:tc>
      </w:tr>
      <w:tr w:rsidR="00795558" w:rsidRPr="00EC38A2" w:rsidTr="001B63B1">
        <w:trPr>
          <w:trHeight w:val="255"/>
        </w:trPr>
        <w:tc>
          <w:tcPr>
            <w:tcW w:w="2175" w:type="dxa"/>
            <w:tcBorders>
              <w:top w:val="nil"/>
              <w:left w:val="nil"/>
              <w:bottom w:val="nil"/>
              <w:right w:val="nil"/>
            </w:tcBorders>
            <w:shd w:val="clear" w:color="auto" w:fill="auto"/>
            <w:noWrap/>
            <w:vAlign w:val="bottom"/>
          </w:tcPr>
          <w:p w:rsidR="00795558" w:rsidRPr="00EC38A2" w:rsidRDefault="00795558" w:rsidP="001B63B1">
            <w:r w:rsidRPr="00EC38A2">
              <w:t>2008</w:t>
            </w:r>
          </w:p>
        </w:tc>
        <w:tc>
          <w:tcPr>
            <w:tcW w:w="1056" w:type="dxa"/>
            <w:tcBorders>
              <w:top w:val="nil"/>
              <w:left w:val="nil"/>
              <w:bottom w:val="nil"/>
              <w:right w:val="nil"/>
            </w:tcBorders>
            <w:shd w:val="clear" w:color="auto" w:fill="auto"/>
            <w:noWrap/>
            <w:vAlign w:val="bottom"/>
          </w:tcPr>
          <w:p w:rsidR="00795558" w:rsidRPr="00EC38A2" w:rsidRDefault="00795558" w:rsidP="001B63B1">
            <w:pPr>
              <w:jc w:val="right"/>
            </w:pPr>
            <w:r w:rsidRPr="00EC38A2">
              <w:t>1.000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0.000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1.000</w:t>
            </w:r>
          </w:p>
        </w:tc>
      </w:tr>
    </w:tbl>
    <w:p w:rsidR="00795558" w:rsidRPr="00EC38A2" w:rsidRDefault="00795558" w:rsidP="00795558">
      <w:pPr>
        <w:ind w:left="720" w:hanging="720"/>
        <w:rPr>
          <w:b/>
        </w:rPr>
      </w:pPr>
    </w:p>
    <w:p w:rsidR="00795558" w:rsidRPr="00EC38A2" w:rsidRDefault="00795558" w:rsidP="00795558">
      <w:r w:rsidRPr="00EC38A2">
        <w:rPr>
          <w:b/>
        </w:rPr>
        <w:br w:type="page"/>
      </w:r>
      <w:r w:rsidRPr="00EC38A2">
        <w:lastRenderedPageBreak/>
        <w:t>Table A2: Survival and recapture estimates from Model 2, Table 1. For details see Table A1. Recapture estimates for 2008, and thus survival estimates for 2007 – 2008 are unreliable!</w:t>
      </w:r>
    </w:p>
    <w:p w:rsidR="00795558" w:rsidRPr="00EC38A2" w:rsidRDefault="00795558" w:rsidP="00795558">
      <w:pPr>
        <w:ind w:left="720" w:hanging="720"/>
      </w:pPr>
    </w:p>
    <w:tbl>
      <w:tblPr>
        <w:tblW w:w="5820" w:type="dxa"/>
        <w:tblInd w:w="93" w:type="dxa"/>
        <w:tblLook w:val="0000"/>
      </w:tblPr>
      <w:tblGrid>
        <w:gridCol w:w="1980"/>
        <w:gridCol w:w="1056"/>
        <w:gridCol w:w="960"/>
        <w:gridCol w:w="960"/>
        <w:gridCol w:w="960"/>
      </w:tblGrid>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r w:rsidRPr="00EC38A2">
              <w:t>Estimate</w:t>
            </w:r>
          </w:p>
        </w:tc>
        <w:tc>
          <w:tcPr>
            <w:tcW w:w="960" w:type="dxa"/>
            <w:tcBorders>
              <w:top w:val="nil"/>
              <w:left w:val="nil"/>
              <w:bottom w:val="nil"/>
              <w:right w:val="nil"/>
            </w:tcBorders>
            <w:shd w:val="clear" w:color="auto" w:fill="auto"/>
            <w:noWrap/>
            <w:vAlign w:val="bottom"/>
          </w:tcPr>
          <w:p w:rsidR="00795558" w:rsidRPr="00EC38A2" w:rsidRDefault="00795558" w:rsidP="001B63B1">
            <w:r w:rsidRPr="00EC38A2">
              <w:t>SE</w:t>
            </w:r>
          </w:p>
        </w:tc>
        <w:tc>
          <w:tcPr>
            <w:tcW w:w="960" w:type="dxa"/>
            <w:tcBorders>
              <w:top w:val="nil"/>
              <w:left w:val="nil"/>
              <w:bottom w:val="nil"/>
              <w:right w:val="nil"/>
            </w:tcBorders>
            <w:shd w:val="clear" w:color="auto" w:fill="auto"/>
            <w:noWrap/>
            <w:vAlign w:val="bottom"/>
          </w:tcPr>
          <w:p w:rsidR="00795558" w:rsidRPr="00EC38A2" w:rsidRDefault="00795558" w:rsidP="001B63B1">
            <w:r w:rsidRPr="00EC38A2">
              <w:t>LCI</w:t>
            </w:r>
          </w:p>
        </w:tc>
        <w:tc>
          <w:tcPr>
            <w:tcW w:w="960" w:type="dxa"/>
            <w:tcBorders>
              <w:top w:val="nil"/>
              <w:left w:val="nil"/>
              <w:bottom w:val="nil"/>
              <w:right w:val="nil"/>
            </w:tcBorders>
            <w:shd w:val="clear" w:color="auto" w:fill="auto"/>
            <w:noWrap/>
            <w:vAlign w:val="bottom"/>
          </w:tcPr>
          <w:p w:rsidR="00795558" w:rsidRPr="00EC38A2" w:rsidRDefault="00795558" w:rsidP="001B63B1">
            <w:r w:rsidRPr="00EC38A2">
              <w:t>UCI</w:t>
            </w:r>
          </w:p>
        </w:tc>
      </w:tr>
      <w:tr w:rsidR="00795558" w:rsidRPr="00EC38A2" w:rsidTr="001B63B1">
        <w:trPr>
          <w:trHeight w:val="255"/>
        </w:trPr>
        <w:tc>
          <w:tcPr>
            <w:tcW w:w="2940" w:type="dxa"/>
            <w:gridSpan w:val="2"/>
            <w:tcBorders>
              <w:top w:val="nil"/>
              <w:left w:val="nil"/>
              <w:bottom w:val="nil"/>
              <w:right w:val="nil"/>
            </w:tcBorders>
            <w:shd w:val="clear" w:color="auto" w:fill="auto"/>
            <w:noWrap/>
            <w:vAlign w:val="bottom"/>
          </w:tcPr>
          <w:p w:rsidR="00795558" w:rsidRPr="00EC38A2" w:rsidRDefault="00795558" w:rsidP="001B63B1">
            <w:r w:rsidRPr="00EC38A2">
              <w:t xml:space="preserve">Survival, </w:t>
            </w:r>
            <w:proofErr w:type="spellStart"/>
            <w:r w:rsidRPr="00EC38A2">
              <w:t>Dassen</w:t>
            </w:r>
            <w:proofErr w:type="spellEnd"/>
            <w:r w:rsidRPr="00EC38A2">
              <w:t xml:space="preserve"> Island</w:t>
            </w:r>
          </w:p>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2002 – 2003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0.673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0.630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0.712</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2003 – 2004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0.696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0.642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0.745</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2004 – 2005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0.552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0.492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0.611</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2005 – 2006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0.528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0.453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0.602</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2006 – 2007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0.533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0.066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0.404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0.657</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2007 – 2008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0.255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0.187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0.339</w:t>
            </w:r>
          </w:p>
        </w:tc>
      </w:tr>
      <w:tr w:rsidR="00795558" w:rsidRPr="00EC38A2" w:rsidTr="001B63B1">
        <w:trPr>
          <w:trHeight w:val="255"/>
        </w:trPr>
        <w:tc>
          <w:tcPr>
            <w:tcW w:w="2940" w:type="dxa"/>
            <w:gridSpan w:val="2"/>
            <w:tcBorders>
              <w:top w:val="nil"/>
              <w:left w:val="nil"/>
              <w:bottom w:val="nil"/>
              <w:right w:val="nil"/>
            </w:tcBorders>
            <w:shd w:val="clear" w:color="auto" w:fill="auto"/>
            <w:noWrap/>
            <w:vAlign w:val="bottom"/>
          </w:tcPr>
          <w:p w:rsidR="00795558" w:rsidRPr="00EC38A2" w:rsidRDefault="00795558" w:rsidP="001B63B1">
            <w:r w:rsidRPr="00EC38A2">
              <w:t xml:space="preserve">Survival, </w:t>
            </w:r>
            <w:proofErr w:type="spellStart"/>
            <w:r w:rsidRPr="00EC38A2">
              <w:t>Robben</w:t>
            </w:r>
            <w:proofErr w:type="spellEnd"/>
            <w:r w:rsidRPr="00EC38A2">
              <w:t xml:space="preserve"> Island</w:t>
            </w:r>
          </w:p>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2002 – 2003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0.795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0.752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0.831</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2003 - 2004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0.747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0.691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0.796</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2004 - 2005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0.663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0.582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0.735</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2005 - 2006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0.618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0.045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0.528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0.702</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2006 - 2007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0.522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0.451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0.592</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2007 - 2008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0.397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0.341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0.456</w:t>
            </w:r>
          </w:p>
        </w:tc>
      </w:tr>
      <w:tr w:rsidR="00795558" w:rsidRPr="00EC38A2" w:rsidTr="001B63B1">
        <w:trPr>
          <w:trHeight w:val="255"/>
        </w:trPr>
        <w:tc>
          <w:tcPr>
            <w:tcW w:w="2940" w:type="dxa"/>
            <w:gridSpan w:val="2"/>
            <w:tcBorders>
              <w:top w:val="nil"/>
              <w:left w:val="nil"/>
              <w:bottom w:val="nil"/>
              <w:right w:val="nil"/>
            </w:tcBorders>
            <w:shd w:val="clear" w:color="auto" w:fill="auto"/>
            <w:noWrap/>
            <w:vAlign w:val="bottom"/>
          </w:tcPr>
          <w:p w:rsidR="00795558" w:rsidRPr="00EC38A2" w:rsidRDefault="00795558" w:rsidP="001B63B1">
            <w:r w:rsidRPr="00EC38A2">
              <w:t xml:space="preserve">Recapture rate, </w:t>
            </w:r>
            <w:proofErr w:type="spellStart"/>
            <w:r w:rsidRPr="00EC38A2">
              <w:t>Dassen</w:t>
            </w:r>
            <w:proofErr w:type="spellEnd"/>
            <w:r w:rsidRPr="00EC38A2">
              <w:t xml:space="preserve"> Island</w:t>
            </w:r>
          </w:p>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0.574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0.536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0.612</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0.527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0.488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0.566</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0.530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0.484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0.575</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0.517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0.459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0.574</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0.606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0.041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0.523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0.684</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0.473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0.062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0.356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0.593</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1.000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0.000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1.000</w:t>
            </w:r>
          </w:p>
        </w:tc>
      </w:tr>
      <w:tr w:rsidR="00795558" w:rsidRPr="00EC38A2" w:rsidTr="001B63B1">
        <w:trPr>
          <w:trHeight w:val="255"/>
        </w:trPr>
        <w:tc>
          <w:tcPr>
            <w:tcW w:w="2940" w:type="dxa"/>
            <w:gridSpan w:val="2"/>
            <w:tcBorders>
              <w:top w:val="nil"/>
              <w:left w:val="nil"/>
              <w:bottom w:val="nil"/>
              <w:right w:val="nil"/>
            </w:tcBorders>
            <w:shd w:val="clear" w:color="auto" w:fill="auto"/>
            <w:noWrap/>
            <w:vAlign w:val="bottom"/>
          </w:tcPr>
          <w:p w:rsidR="00795558" w:rsidRPr="00EC38A2" w:rsidRDefault="00795558" w:rsidP="001B63B1">
            <w:r w:rsidRPr="00EC38A2">
              <w:t xml:space="preserve">Recapture rate, </w:t>
            </w:r>
            <w:proofErr w:type="spellStart"/>
            <w:r w:rsidRPr="00EC38A2">
              <w:t>Robben</w:t>
            </w:r>
            <w:proofErr w:type="spellEnd"/>
            <w:r w:rsidRPr="00EC38A2">
              <w:t xml:space="preserve"> Island</w:t>
            </w:r>
          </w:p>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c>
          <w:tcPr>
            <w:tcW w:w="960" w:type="dxa"/>
            <w:tcBorders>
              <w:top w:val="nil"/>
              <w:left w:val="nil"/>
              <w:bottom w:val="nil"/>
              <w:right w:val="nil"/>
            </w:tcBorders>
            <w:shd w:val="clear" w:color="auto" w:fill="auto"/>
            <w:noWrap/>
            <w:vAlign w:val="bottom"/>
          </w:tcPr>
          <w:p w:rsidR="00795558" w:rsidRPr="00EC38A2" w:rsidRDefault="00795558" w:rsidP="001B63B1"/>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0.215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0.149</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0.301</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0.274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0.240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0.312</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0.278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0.244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0.314</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0.162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0.015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0.134</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0.193</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2006</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0.391</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0.027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0.340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0.445</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2007</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0.493</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0.425</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0.560</w:t>
            </w:r>
          </w:p>
        </w:tc>
      </w:tr>
      <w:tr w:rsidR="00795558" w:rsidRPr="00EC38A2" w:rsidTr="001B63B1">
        <w:trPr>
          <w:trHeight w:val="255"/>
        </w:trPr>
        <w:tc>
          <w:tcPr>
            <w:tcW w:w="1980" w:type="dxa"/>
            <w:tcBorders>
              <w:top w:val="nil"/>
              <w:left w:val="nil"/>
              <w:bottom w:val="nil"/>
              <w:right w:val="nil"/>
            </w:tcBorders>
            <w:shd w:val="clear" w:color="auto" w:fill="auto"/>
            <w:noWrap/>
            <w:vAlign w:val="bottom"/>
          </w:tcPr>
          <w:p w:rsidR="00795558" w:rsidRPr="00EC38A2" w:rsidRDefault="00795558" w:rsidP="001B63B1">
            <w:r w:rsidRPr="00EC38A2">
              <w:t>2008</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1.000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0.032</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0.000</w:t>
            </w:r>
          </w:p>
        </w:tc>
        <w:tc>
          <w:tcPr>
            <w:tcW w:w="960" w:type="dxa"/>
            <w:tcBorders>
              <w:top w:val="nil"/>
              <w:left w:val="nil"/>
              <w:bottom w:val="nil"/>
              <w:right w:val="nil"/>
            </w:tcBorders>
            <w:shd w:val="clear" w:color="auto" w:fill="auto"/>
            <w:noWrap/>
            <w:vAlign w:val="bottom"/>
          </w:tcPr>
          <w:p w:rsidR="00795558" w:rsidRPr="00EC38A2" w:rsidRDefault="00795558" w:rsidP="001B63B1">
            <w:pPr>
              <w:jc w:val="right"/>
            </w:pPr>
            <w:r w:rsidRPr="00EC38A2">
              <w:t>1.000</w:t>
            </w:r>
          </w:p>
        </w:tc>
      </w:tr>
    </w:tbl>
    <w:p w:rsidR="00795558" w:rsidRPr="00EC38A2" w:rsidRDefault="00795558" w:rsidP="00795558">
      <w:pPr>
        <w:ind w:left="720" w:hanging="720"/>
        <w:rPr>
          <w:b/>
        </w:rPr>
      </w:pPr>
    </w:p>
    <w:p w:rsidR="00795558" w:rsidRPr="00EC38A2" w:rsidRDefault="00795558" w:rsidP="00795558">
      <w:pPr>
        <w:ind w:left="720" w:hanging="720"/>
      </w:pPr>
      <w:r w:rsidRPr="00EC38A2">
        <w:rPr>
          <w:b/>
        </w:rPr>
        <w:br w:type="page"/>
      </w:r>
      <w:r w:rsidRPr="00EC38A2">
        <w:rPr>
          <w:b/>
        </w:rPr>
        <w:lastRenderedPageBreak/>
        <w:t>Appendix 2</w:t>
      </w:r>
    </w:p>
    <w:p w:rsidR="00795558" w:rsidRPr="00EC38A2" w:rsidRDefault="00795558" w:rsidP="00795558">
      <w:pPr>
        <w:ind w:left="720" w:hanging="720"/>
      </w:pPr>
    </w:p>
    <w:p w:rsidR="00795558" w:rsidRPr="00EC38A2" w:rsidRDefault="00795558" w:rsidP="00795558">
      <w:pPr>
        <w:ind w:left="720" w:hanging="720"/>
        <w:rPr>
          <w:noProof/>
        </w:rPr>
      </w:pPr>
      <w:r>
        <w:rPr>
          <w:noProof/>
          <w:lang w:val="en-ZA" w:eastAsia="en-ZA"/>
        </w:rPr>
        <w:drawing>
          <wp:inline distT="0" distB="0" distL="0" distR="0">
            <wp:extent cx="4570232" cy="2742827"/>
            <wp:effectExtent l="12185" t="6088" r="6093"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5558" w:rsidRPr="00EC38A2" w:rsidRDefault="00795558" w:rsidP="00795558">
      <w:pPr>
        <w:ind w:left="720" w:hanging="720"/>
        <w:rPr>
          <w:noProof/>
        </w:rPr>
      </w:pPr>
    </w:p>
    <w:p w:rsidR="00795558" w:rsidRPr="00EC38A2" w:rsidRDefault="00795558" w:rsidP="00795558">
      <w:pPr>
        <w:ind w:left="720" w:hanging="720"/>
        <w:rPr>
          <w:noProof/>
        </w:rPr>
      </w:pPr>
      <w:r>
        <w:rPr>
          <w:noProof/>
          <w:lang w:val="en-ZA" w:eastAsia="en-ZA"/>
        </w:rPr>
        <w:drawing>
          <wp:inline distT="0" distB="0" distL="0" distR="0">
            <wp:extent cx="4570232" cy="2907153"/>
            <wp:effectExtent l="12185" t="6099" r="6093" b="2668"/>
            <wp:docPr id="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5558" w:rsidRPr="00EC38A2" w:rsidRDefault="00795558" w:rsidP="00795558">
      <w:pPr>
        <w:ind w:left="720" w:hanging="720"/>
        <w:rPr>
          <w:noProof/>
        </w:rPr>
      </w:pPr>
    </w:p>
    <w:p w:rsidR="00795558" w:rsidRPr="00EC38A2" w:rsidRDefault="00795558" w:rsidP="00795558">
      <w:r w:rsidRPr="00EC38A2">
        <w:rPr>
          <w:noProof/>
        </w:rPr>
        <w:t>Figure A1: The year of banding of penguins at Dassen and Robben islands that were used in the study.</w:t>
      </w:r>
    </w:p>
    <w:p w:rsidR="00836CAA" w:rsidRDefault="00836CAA" w:rsidP="00795558"/>
    <w:sectPr w:rsidR="00836CAA" w:rsidSect="00836CAA">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DE1" w:rsidRDefault="00CA0DE1" w:rsidP="00CA0DE1">
      <w:r>
        <w:separator/>
      </w:r>
    </w:p>
  </w:endnote>
  <w:endnote w:type="continuationSeparator" w:id="0">
    <w:p w:rsidR="00CA0DE1" w:rsidRDefault="00CA0DE1" w:rsidP="00CA0D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DE1" w:rsidRDefault="00CA0DE1" w:rsidP="00CA0DE1">
      <w:r>
        <w:separator/>
      </w:r>
    </w:p>
  </w:footnote>
  <w:footnote w:type="continuationSeparator" w:id="0">
    <w:p w:rsidR="00CA0DE1" w:rsidRDefault="00CA0DE1" w:rsidP="00CA0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DE1" w:rsidRDefault="00CA0DE1" w:rsidP="00CA0DE1">
    <w:pPr>
      <w:pStyle w:val="Header"/>
      <w:jc w:val="right"/>
    </w:pPr>
    <w:r>
      <w:t>MARAM IWS/DEC10/P/BG7</w:t>
    </w:r>
  </w:p>
  <w:p w:rsidR="00CA0DE1" w:rsidRDefault="00CA0D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795558"/>
    <w:rsid w:val="00201EDA"/>
    <w:rsid w:val="00675D10"/>
    <w:rsid w:val="00795558"/>
    <w:rsid w:val="00836CAA"/>
    <w:rsid w:val="00940C10"/>
    <w:rsid w:val="00B32949"/>
    <w:rsid w:val="00CA0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58"/>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795558"/>
    <w:pPr>
      <w:keepNext/>
      <w:spacing w:before="240" w:after="60"/>
      <w:outlineLvl w:val="1"/>
    </w:pPr>
    <w:rPr>
      <w:rFonts w:ascii="Arial" w:hAnsi="Arial" w:cs="Arial"/>
      <w:b/>
      <w:bCs/>
      <w:i/>
      <w:iCs/>
      <w:sz w:val="28"/>
      <w:szCs w:val="28"/>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5558"/>
    <w:rPr>
      <w:rFonts w:ascii="Arial" w:eastAsia="Times New Roman" w:hAnsi="Arial" w:cs="Arial"/>
      <w:b/>
      <w:bCs/>
      <w:i/>
      <w:iCs/>
      <w:sz w:val="28"/>
      <w:szCs w:val="28"/>
      <w:lang w:val="en-ZA"/>
    </w:rPr>
  </w:style>
  <w:style w:type="paragraph" w:styleId="BalloonText">
    <w:name w:val="Balloon Text"/>
    <w:basedOn w:val="Normal"/>
    <w:link w:val="BalloonTextChar"/>
    <w:uiPriority w:val="99"/>
    <w:semiHidden/>
    <w:unhideWhenUsed/>
    <w:rsid w:val="00795558"/>
    <w:rPr>
      <w:rFonts w:ascii="Tahoma" w:hAnsi="Tahoma" w:cs="Tahoma"/>
      <w:sz w:val="16"/>
      <w:szCs w:val="16"/>
    </w:rPr>
  </w:style>
  <w:style w:type="character" w:customStyle="1" w:styleId="BalloonTextChar">
    <w:name w:val="Balloon Text Char"/>
    <w:basedOn w:val="DefaultParagraphFont"/>
    <w:link w:val="BalloonText"/>
    <w:uiPriority w:val="99"/>
    <w:semiHidden/>
    <w:rsid w:val="00795558"/>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CA0DE1"/>
    <w:pPr>
      <w:tabs>
        <w:tab w:val="center" w:pos="4513"/>
        <w:tab w:val="right" w:pos="9026"/>
      </w:tabs>
    </w:pPr>
  </w:style>
  <w:style w:type="character" w:customStyle="1" w:styleId="HeaderChar">
    <w:name w:val="Header Char"/>
    <w:basedOn w:val="DefaultParagraphFont"/>
    <w:link w:val="Header"/>
    <w:uiPriority w:val="99"/>
    <w:rsid w:val="00CA0DE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CA0DE1"/>
    <w:pPr>
      <w:tabs>
        <w:tab w:val="center" w:pos="4513"/>
        <w:tab w:val="right" w:pos="9026"/>
      </w:tabs>
    </w:pPr>
  </w:style>
  <w:style w:type="character" w:customStyle="1" w:styleId="FooterChar">
    <w:name w:val="Footer Char"/>
    <w:basedOn w:val="DefaultParagraphFont"/>
    <w:link w:val="Footer"/>
    <w:uiPriority w:val="99"/>
    <w:semiHidden/>
    <w:rsid w:val="00CA0DE1"/>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oleObject" Target="embeddings/oleObject3.bin"/><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Crawford\My%20Documents\Crawford%20files\Ecosystem%20Approach%20to%20Fisheries\African%20Penguin%20area%20closure\Meeting%20April%202009\Year%20of%20banding%20of%20penguins%20at%20Robben%20and%20Dasse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Crawford\My%20Documents\Crawford%20files\Ecosystem%20Approach%20to%20Fisheries\African%20Penguin%20area%20closure\Meeting%20April%202009\Year%20of%20banding%20of%20penguins%20at%20Robben%20and%20Dasse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ZA"/>
  <c:chart>
    <c:title>
      <c:layout/>
    </c:title>
    <c:plotArea>
      <c:layout/>
      <c:barChart>
        <c:barDir val="col"/>
        <c:grouping val="clustered"/>
        <c:ser>
          <c:idx val="0"/>
          <c:order val="0"/>
          <c:tx>
            <c:v>Dassen</c:v>
          </c:tx>
          <c:spPr>
            <a:solidFill>
              <a:schemeClr val="tx1"/>
            </a:solidFill>
          </c:spPr>
          <c:cat>
            <c:strRef>
              <c:f>Dassen!$A$3:$A$31</c:f>
              <c:strCache>
                <c:ptCount val="29"/>
                <c:pt idx="0">
                  <c:v>Unknown</c:v>
                </c:pt>
                <c:pt idx="2">
                  <c:v>1980</c:v>
                </c:pt>
                <c:pt idx="3">
                  <c:v>1983</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strCache>
            </c:strRef>
          </c:cat>
          <c:val>
            <c:numRef>
              <c:f>Dassen!$C$3:$C$31</c:f>
              <c:numCache>
                <c:formatCode>General</c:formatCode>
                <c:ptCount val="29"/>
                <c:pt idx="0">
                  <c:v>150</c:v>
                </c:pt>
                <c:pt idx="2">
                  <c:v>1</c:v>
                </c:pt>
                <c:pt idx="3">
                  <c:v>1</c:v>
                </c:pt>
                <c:pt idx="5">
                  <c:v>5</c:v>
                </c:pt>
                <c:pt idx="6">
                  <c:v>1</c:v>
                </c:pt>
                <c:pt idx="7">
                  <c:v>5</c:v>
                </c:pt>
                <c:pt idx="8">
                  <c:v>4</c:v>
                </c:pt>
                <c:pt idx="9">
                  <c:v>20</c:v>
                </c:pt>
                <c:pt idx="10">
                  <c:v>18</c:v>
                </c:pt>
                <c:pt idx="11">
                  <c:v>47</c:v>
                </c:pt>
                <c:pt idx="12">
                  <c:v>53</c:v>
                </c:pt>
                <c:pt idx="13">
                  <c:v>32</c:v>
                </c:pt>
                <c:pt idx="14">
                  <c:v>499</c:v>
                </c:pt>
                <c:pt idx="15">
                  <c:v>15</c:v>
                </c:pt>
                <c:pt idx="16">
                  <c:v>23</c:v>
                </c:pt>
                <c:pt idx="17">
                  <c:v>50</c:v>
                </c:pt>
                <c:pt idx="18">
                  <c:v>204</c:v>
                </c:pt>
                <c:pt idx="19">
                  <c:v>480</c:v>
                </c:pt>
                <c:pt idx="20">
                  <c:v>3309</c:v>
                </c:pt>
                <c:pt idx="21">
                  <c:v>129</c:v>
                </c:pt>
                <c:pt idx="22">
                  <c:v>143</c:v>
                </c:pt>
                <c:pt idx="23">
                  <c:v>140</c:v>
                </c:pt>
                <c:pt idx="24">
                  <c:v>39</c:v>
                </c:pt>
                <c:pt idx="28">
                  <c:v>235</c:v>
                </c:pt>
              </c:numCache>
            </c:numRef>
          </c:val>
        </c:ser>
        <c:axId val="83307904"/>
        <c:axId val="83355136"/>
      </c:barChart>
      <c:catAx>
        <c:axId val="83307904"/>
        <c:scaling>
          <c:orientation val="minMax"/>
        </c:scaling>
        <c:axPos val="b"/>
        <c:numFmt formatCode="General" sourceLinked="1"/>
        <c:tickLblPos val="nextTo"/>
        <c:txPr>
          <a:bodyPr rot="-5400000" vert="horz"/>
          <a:lstStyle/>
          <a:p>
            <a:pPr>
              <a:defRPr/>
            </a:pPr>
            <a:endParaRPr lang="en-US"/>
          </a:p>
        </c:txPr>
        <c:crossAx val="83355136"/>
        <c:crosses val="autoZero"/>
        <c:auto val="1"/>
        <c:lblAlgn val="ctr"/>
        <c:lblOffset val="100"/>
        <c:tickLblSkip val="2"/>
      </c:catAx>
      <c:valAx>
        <c:axId val="83355136"/>
        <c:scaling>
          <c:orientation val="minMax"/>
        </c:scaling>
        <c:axPos val="l"/>
        <c:majorGridlines/>
        <c:numFmt formatCode="General" sourceLinked="1"/>
        <c:tickLblPos val="nextTo"/>
        <c:crossAx val="833079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ZA"/>
  <c:chart>
    <c:title>
      <c:layout/>
    </c:title>
    <c:plotArea>
      <c:layout/>
      <c:barChart>
        <c:barDir val="col"/>
        <c:grouping val="clustered"/>
        <c:ser>
          <c:idx val="0"/>
          <c:order val="0"/>
          <c:tx>
            <c:v>Robben</c:v>
          </c:tx>
          <c:spPr>
            <a:solidFill>
              <a:schemeClr val="tx1"/>
            </a:solidFill>
          </c:spPr>
          <c:cat>
            <c:strRef>
              <c:f>Robben!$A$3:$A$36</c:f>
              <c:strCache>
                <c:ptCount val="34"/>
                <c:pt idx="0">
                  <c:v>Unknown</c:v>
                </c:pt>
                <c:pt idx="2">
                  <c:v>1972</c:v>
                </c:pt>
                <c:pt idx="4">
                  <c:v>1978</c:v>
                </c:pt>
                <c:pt idx="6">
                  <c:v>1980</c:v>
                </c:pt>
                <c:pt idx="7">
                  <c:v>1981</c:v>
                </c:pt>
                <c:pt idx="8">
                  <c:v>1982</c:v>
                </c:pt>
                <c:pt idx="9">
                  <c:v>1983</c:v>
                </c:pt>
                <c:pt idx="10">
                  <c:v>1984</c:v>
                </c:pt>
                <c:pt idx="11">
                  <c:v>1985</c:v>
                </c:pt>
                <c:pt idx="12">
                  <c:v>1986</c:v>
                </c:pt>
                <c:pt idx="13">
                  <c:v>1987</c:v>
                </c:pt>
                <c:pt idx="14">
                  <c:v>1988</c:v>
                </c:pt>
                <c:pt idx="15">
                  <c:v>1989</c:v>
                </c:pt>
                <c:pt idx="16">
                  <c:v>1990</c:v>
                </c:pt>
                <c:pt idx="17">
                  <c:v>1991</c:v>
                </c:pt>
                <c:pt idx="18">
                  <c:v>1992</c:v>
                </c:pt>
                <c:pt idx="19">
                  <c:v>1993</c:v>
                </c:pt>
                <c:pt idx="20">
                  <c:v>1994</c:v>
                </c:pt>
                <c:pt idx="21">
                  <c:v>1995</c:v>
                </c:pt>
                <c:pt idx="22">
                  <c:v>1996</c:v>
                </c:pt>
                <c:pt idx="23">
                  <c:v>1997</c:v>
                </c:pt>
                <c:pt idx="24">
                  <c:v>1998</c:v>
                </c:pt>
                <c:pt idx="25">
                  <c:v>1999</c:v>
                </c:pt>
                <c:pt idx="26">
                  <c:v>2000</c:v>
                </c:pt>
                <c:pt idx="27">
                  <c:v>2001</c:v>
                </c:pt>
                <c:pt idx="28">
                  <c:v>2002</c:v>
                </c:pt>
                <c:pt idx="29">
                  <c:v>2003</c:v>
                </c:pt>
                <c:pt idx="30">
                  <c:v>2004</c:v>
                </c:pt>
                <c:pt idx="31">
                  <c:v>2005</c:v>
                </c:pt>
                <c:pt idx="32">
                  <c:v>2006</c:v>
                </c:pt>
                <c:pt idx="33">
                  <c:v>2007</c:v>
                </c:pt>
              </c:strCache>
            </c:strRef>
          </c:cat>
          <c:val>
            <c:numRef>
              <c:f>Robben!$C$3:$C$36</c:f>
              <c:numCache>
                <c:formatCode>General</c:formatCode>
                <c:ptCount val="34"/>
                <c:pt idx="0">
                  <c:v>238</c:v>
                </c:pt>
                <c:pt idx="2">
                  <c:v>3</c:v>
                </c:pt>
                <c:pt idx="4">
                  <c:v>1</c:v>
                </c:pt>
                <c:pt idx="7">
                  <c:v>2</c:v>
                </c:pt>
                <c:pt idx="9">
                  <c:v>1</c:v>
                </c:pt>
                <c:pt idx="11">
                  <c:v>8</c:v>
                </c:pt>
                <c:pt idx="13">
                  <c:v>6</c:v>
                </c:pt>
                <c:pt idx="14">
                  <c:v>3</c:v>
                </c:pt>
                <c:pt idx="15">
                  <c:v>11</c:v>
                </c:pt>
                <c:pt idx="16">
                  <c:v>19</c:v>
                </c:pt>
                <c:pt idx="17">
                  <c:v>32</c:v>
                </c:pt>
                <c:pt idx="18">
                  <c:v>44</c:v>
                </c:pt>
                <c:pt idx="19">
                  <c:v>42</c:v>
                </c:pt>
                <c:pt idx="20">
                  <c:v>100</c:v>
                </c:pt>
                <c:pt idx="21">
                  <c:v>7</c:v>
                </c:pt>
                <c:pt idx="22">
                  <c:v>14</c:v>
                </c:pt>
                <c:pt idx="23">
                  <c:v>44</c:v>
                </c:pt>
                <c:pt idx="24">
                  <c:v>219</c:v>
                </c:pt>
                <c:pt idx="25">
                  <c:v>110</c:v>
                </c:pt>
                <c:pt idx="26">
                  <c:v>4480</c:v>
                </c:pt>
                <c:pt idx="27">
                  <c:v>383</c:v>
                </c:pt>
                <c:pt idx="28">
                  <c:v>340</c:v>
                </c:pt>
                <c:pt idx="29">
                  <c:v>375</c:v>
                </c:pt>
                <c:pt idx="30">
                  <c:v>110</c:v>
                </c:pt>
                <c:pt idx="31">
                  <c:v>40</c:v>
                </c:pt>
                <c:pt idx="32">
                  <c:v>35</c:v>
                </c:pt>
                <c:pt idx="33">
                  <c:v>27</c:v>
                </c:pt>
              </c:numCache>
            </c:numRef>
          </c:val>
        </c:ser>
        <c:axId val="92947968"/>
        <c:axId val="92949888"/>
      </c:barChart>
      <c:catAx>
        <c:axId val="92947968"/>
        <c:scaling>
          <c:orientation val="minMax"/>
        </c:scaling>
        <c:axPos val="b"/>
        <c:numFmt formatCode="General" sourceLinked="1"/>
        <c:tickLblPos val="nextTo"/>
        <c:txPr>
          <a:bodyPr rot="-5400000" vert="horz"/>
          <a:lstStyle/>
          <a:p>
            <a:pPr>
              <a:defRPr/>
            </a:pPr>
            <a:endParaRPr lang="en-US"/>
          </a:p>
        </c:txPr>
        <c:crossAx val="92949888"/>
        <c:crosses val="autoZero"/>
        <c:auto val="1"/>
        <c:lblAlgn val="ctr"/>
        <c:lblOffset val="100"/>
        <c:tickLblSkip val="2"/>
      </c:catAx>
      <c:valAx>
        <c:axId val="92949888"/>
        <c:scaling>
          <c:orientation val="minMax"/>
        </c:scaling>
        <c:axPos val="l"/>
        <c:majorGridlines/>
        <c:numFmt formatCode="General" sourceLinked="1"/>
        <c:tickLblPos val="nextTo"/>
        <c:crossAx val="9294796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3648</Words>
  <Characters>20797</Characters>
  <Application>Microsoft Office Word</Application>
  <DocSecurity>0</DocSecurity>
  <Lines>173</Lines>
  <Paragraphs>48</Paragraphs>
  <ScaleCrop>false</ScaleCrop>
  <Company/>
  <LinksUpToDate>false</LinksUpToDate>
  <CharactersWithSpaces>24397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dc:creator>
  <cp:keywords/>
  <dc:description/>
  <cp:lastModifiedBy>New Win User</cp:lastModifiedBy>
  <cp:revision>3</cp:revision>
  <dcterms:created xsi:type="dcterms:W3CDTF">2010-11-30T09:17:00Z</dcterms:created>
  <dcterms:modified xsi:type="dcterms:W3CDTF">2010-12-01T09:41:00Z</dcterms:modified>
</cp:coreProperties>
</file>