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BE" w:rsidRDefault="00E202BE">
      <w:pPr>
        <w:rPr>
          <w:lang w:val="en-ZA"/>
        </w:rPr>
      </w:pPr>
    </w:p>
    <w:p w:rsidR="00D67019" w:rsidRPr="00E202BE" w:rsidRDefault="00E202BE" w:rsidP="00E202BE">
      <w:pPr>
        <w:jc w:val="center"/>
        <w:rPr>
          <w:b/>
          <w:lang w:val="en-ZA"/>
        </w:rPr>
      </w:pPr>
      <w:r w:rsidRPr="00E202BE">
        <w:rPr>
          <w:b/>
          <w:lang w:val="en-ZA"/>
        </w:rPr>
        <w:t>Further outputs for a re-look at the “original” model fits for Area 5+6</w:t>
      </w:r>
      <w:r w:rsidR="009459A1">
        <w:rPr>
          <w:b/>
          <w:lang w:val="en-ZA"/>
        </w:rPr>
        <w:t xml:space="preserve"> and some further plots of combined resource estimates</w:t>
      </w:r>
    </w:p>
    <w:p w:rsidR="00E202BE" w:rsidRDefault="00E202BE" w:rsidP="00E202BE">
      <w:pPr>
        <w:jc w:val="center"/>
        <w:rPr>
          <w:lang w:val="en-ZA"/>
        </w:rPr>
      </w:pPr>
    </w:p>
    <w:p w:rsidR="00E202BE" w:rsidRDefault="00E202BE" w:rsidP="00E202BE">
      <w:pPr>
        <w:jc w:val="center"/>
        <w:rPr>
          <w:lang w:val="en-ZA"/>
        </w:rPr>
      </w:pPr>
      <w:r>
        <w:rPr>
          <w:lang w:val="en-ZA"/>
        </w:rPr>
        <w:t>S.J. Johnston</w:t>
      </w:r>
    </w:p>
    <w:p w:rsidR="00E202BE" w:rsidRDefault="00531A9E">
      <w:pPr>
        <w:rPr>
          <w:rFonts w:eastAsiaTheme="minorEastAsia"/>
          <w:lang w:val="en-ZA"/>
        </w:rPr>
      </w:pPr>
      <w:r>
        <w:rPr>
          <w:lang w:val="en-ZA"/>
        </w:rPr>
        <w:t xml:space="preserve">Closer examination of the A5+6 fits to the CPUE data and F% data showed that this model fit was most likely not fully converged. Attempts have been made to reach convergence, and the new model fits for Area 5+6 are reported here, along with </w:t>
      </w:r>
      <m:oMath>
        <m:sSubSup>
          <m:sSubSupPr>
            <m:ctrlPr>
              <w:rPr>
                <w:rFonts w:ascii="Cambria Math" w:hAnsi="Cambria Math"/>
                <w:i/>
                <w:lang w:val="en-ZA"/>
              </w:rPr>
            </m:ctrlPr>
          </m:sSubSupPr>
          <m:e>
            <m:r>
              <w:rPr>
                <w:rFonts w:ascii="Cambria Math" w:hAnsi="Cambria Math"/>
                <w:lang w:val="en-ZA"/>
              </w:rPr>
              <m:t>B</m:t>
            </m:r>
          </m:e>
          <m:sub>
            <m:r>
              <w:rPr>
                <w:rFonts w:ascii="Cambria Math" w:hAnsi="Cambria Math"/>
                <w:lang w:val="en-ZA"/>
              </w:rPr>
              <m:t>75</m:t>
            </m:r>
          </m:sub>
          <m:sup>
            <m:r>
              <w:rPr>
                <w:rFonts w:ascii="Cambria Math" w:hAnsi="Cambria Math"/>
                <w:lang w:val="en-ZA"/>
              </w:rPr>
              <m:t>m</m:t>
            </m:r>
          </m:sup>
        </m:sSubSup>
      </m:oMath>
      <w:r>
        <w:rPr>
          <w:rFonts w:eastAsiaTheme="minorEastAsia"/>
          <w:lang w:val="en-ZA"/>
        </w:rPr>
        <w:t xml:space="preserve"> trends for all five super-areas, and for the combined resource.</w:t>
      </w:r>
    </w:p>
    <w:p w:rsidR="00531A9E" w:rsidRDefault="00531A9E">
      <w:pPr>
        <w:rPr>
          <w:rFonts w:eastAsiaTheme="minorEastAsia"/>
          <w:lang w:val="en-ZA"/>
        </w:rPr>
      </w:pPr>
      <w:r>
        <w:rPr>
          <w:rFonts w:eastAsiaTheme="minorEastAsia"/>
          <w:lang w:val="en-ZA"/>
        </w:rPr>
        <w:br w:type="page"/>
      </w:r>
    </w:p>
    <w:p w:rsidR="00531A9E" w:rsidRDefault="00531A9E">
      <w:pPr>
        <w:rPr>
          <w:lang w:val="en-ZA"/>
        </w:rPr>
      </w:pPr>
      <w:r>
        <w:rPr>
          <w:lang w:val="en-ZA"/>
        </w:rPr>
        <w:lastRenderedPageBreak/>
        <w:t>Figure 1: Fits to CPUE and F% (“n” refers to the new variant, and “o*” refers to the updated original model variant.</w:t>
      </w:r>
    </w:p>
    <w:p w:rsidR="00531A9E" w:rsidRDefault="00531A9E">
      <w:pPr>
        <w:rPr>
          <w:lang w:val="en-ZA"/>
        </w:rPr>
      </w:pPr>
      <w:r w:rsidRPr="00531A9E">
        <w:rPr>
          <w:noProof/>
          <w:lang w:val="en-ZA" w:eastAsia="en-ZA"/>
        </w:rPr>
        <w:drawing>
          <wp:inline distT="0" distB="0" distL="0" distR="0">
            <wp:extent cx="5943600" cy="434653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46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A67" w:rsidRDefault="008A3A67">
      <w:pPr>
        <w:rPr>
          <w:lang w:val="en-ZA"/>
        </w:rPr>
      </w:pPr>
    </w:p>
    <w:p w:rsidR="008A3A67" w:rsidRDefault="008A3A67">
      <w:pPr>
        <w:rPr>
          <w:lang w:val="en-ZA"/>
        </w:rPr>
      </w:pPr>
      <w:r>
        <w:rPr>
          <w:lang w:val="en-ZA"/>
        </w:rPr>
        <w:br w:type="page"/>
      </w:r>
    </w:p>
    <w:p w:rsidR="008A3A67" w:rsidRPr="004E2989" w:rsidRDefault="008A3A67">
      <w:pPr>
        <w:rPr>
          <w:rFonts w:eastAsiaTheme="minorEastAsia"/>
          <w:lang w:val="en-ZA"/>
        </w:rPr>
      </w:pPr>
      <w:proofErr w:type="gramStart"/>
      <w:r>
        <w:rPr>
          <w:lang w:val="en-ZA"/>
        </w:rPr>
        <w:lastRenderedPageBreak/>
        <w:t>Figure 2; Area 5+6 “o*” population trends.</w:t>
      </w:r>
      <w:proofErr w:type="gramEnd"/>
      <w:r w:rsidR="004E2989">
        <w:rPr>
          <w:lang w:val="en-ZA"/>
        </w:rPr>
        <w:t xml:space="preserve"> The right</w:t>
      </w:r>
      <w:r w:rsidR="004E2989">
        <w:rPr>
          <w:rFonts w:eastAsiaTheme="minorEastAsia"/>
          <w:lang w:val="en-ZA"/>
        </w:rPr>
        <w:t xml:space="preserve"> panel is a 1980+ “zoom in”.</w:t>
      </w:r>
    </w:p>
    <w:p w:rsidR="008A3A67" w:rsidRDefault="008A3A67">
      <w:pPr>
        <w:rPr>
          <w:lang w:val="en-ZA"/>
        </w:rPr>
      </w:pPr>
      <w:r w:rsidRPr="008A3A67">
        <w:rPr>
          <w:noProof/>
          <w:lang w:val="en-ZA" w:eastAsia="en-ZA"/>
        </w:rPr>
        <w:drawing>
          <wp:inline distT="0" distB="0" distL="0" distR="0">
            <wp:extent cx="5943600" cy="500760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0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A67" w:rsidRDefault="008A3A67">
      <w:pPr>
        <w:rPr>
          <w:lang w:val="en-ZA"/>
        </w:rPr>
      </w:pPr>
      <w:r>
        <w:rPr>
          <w:lang w:val="en-ZA"/>
        </w:rPr>
        <w:br w:type="page"/>
      </w:r>
    </w:p>
    <w:p w:rsidR="008A3A67" w:rsidRDefault="008A3A67">
      <w:pPr>
        <w:rPr>
          <w:rFonts w:eastAsiaTheme="minorEastAsia"/>
          <w:lang w:val="en-ZA"/>
        </w:rPr>
      </w:pPr>
      <w:r>
        <w:rPr>
          <w:lang w:val="en-ZA"/>
        </w:rPr>
        <w:lastRenderedPageBreak/>
        <w:t>Figure 3</w:t>
      </w:r>
      <w:r w:rsidR="006111E8">
        <w:rPr>
          <w:lang w:val="en-ZA"/>
        </w:rPr>
        <w:t>a</w:t>
      </w:r>
      <w:r>
        <w:rPr>
          <w:lang w:val="en-ZA"/>
        </w:rPr>
        <w:t xml:space="preserve">:  </w:t>
      </w:r>
      <m:oMath>
        <m:sSubSup>
          <m:sSubSupPr>
            <m:ctrlPr>
              <w:rPr>
                <w:rFonts w:ascii="Cambria Math" w:hAnsi="Cambria Math"/>
                <w:i/>
                <w:lang w:val="en-ZA"/>
              </w:rPr>
            </m:ctrlPr>
          </m:sSubSupPr>
          <m:e>
            <m:r>
              <w:rPr>
                <w:rFonts w:ascii="Cambria Math" w:hAnsi="Cambria Math"/>
                <w:lang w:val="en-ZA"/>
              </w:rPr>
              <m:t>B</m:t>
            </m:r>
          </m:e>
          <m:sub>
            <m:r>
              <w:rPr>
                <w:rFonts w:ascii="Cambria Math" w:hAnsi="Cambria Math"/>
                <w:lang w:val="en-ZA"/>
              </w:rPr>
              <m:t>75</m:t>
            </m:r>
          </m:sub>
          <m:sup>
            <m:r>
              <w:rPr>
                <w:rFonts w:ascii="Cambria Math" w:hAnsi="Cambria Math"/>
                <w:lang w:val="en-ZA"/>
              </w:rPr>
              <m:t>m</m:t>
            </m:r>
          </m:sup>
        </m:sSubSup>
      </m:oMath>
      <w:r>
        <w:rPr>
          <w:rFonts w:eastAsiaTheme="minorEastAsia"/>
          <w:lang w:val="en-ZA"/>
        </w:rPr>
        <w:t xml:space="preserve"> trends for all five super-areas and the combined resource for the 2010 updated assessments using the “original” model variant.</w:t>
      </w:r>
      <w:r w:rsidR="004E2989">
        <w:rPr>
          <w:rFonts w:eastAsiaTheme="minorEastAsia"/>
          <w:lang w:val="en-ZA"/>
        </w:rPr>
        <w:t xml:space="preserve"> The right panel is a 1980+ “zoom in”.</w:t>
      </w:r>
    </w:p>
    <w:p w:rsidR="008A3A67" w:rsidRDefault="006111E8">
      <w:pPr>
        <w:rPr>
          <w:lang w:val="en-ZA"/>
        </w:rPr>
      </w:pPr>
      <w:r w:rsidRPr="006111E8">
        <w:rPr>
          <w:noProof/>
          <w:lang w:val="en-ZA" w:eastAsia="en-ZA"/>
        </w:rPr>
        <w:drawing>
          <wp:inline distT="0" distB="0" distL="0" distR="0">
            <wp:extent cx="4977232" cy="765540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393" cy="765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E8" w:rsidRDefault="006111E8" w:rsidP="006111E8">
      <w:pPr>
        <w:rPr>
          <w:rFonts w:eastAsiaTheme="minorEastAsia"/>
          <w:lang w:val="en-ZA"/>
        </w:rPr>
      </w:pPr>
      <w:r>
        <w:rPr>
          <w:lang w:val="en-ZA"/>
        </w:rPr>
        <w:lastRenderedPageBreak/>
        <w:t>Figure 3</w:t>
      </w:r>
      <w:r w:rsidR="00C07111">
        <w:rPr>
          <w:lang w:val="en-ZA"/>
        </w:rPr>
        <w:t>b</w:t>
      </w:r>
      <w:r>
        <w:rPr>
          <w:lang w:val="en-ZA"/>
        </w:rPr>
        <w:t xml:space="preserve">:  </w:t>
      </w:r>
      <m:oMath>
        <m:sSubSup>
          <m:sSubSupPr>
            <m:ctrlPr>
              <w:rPr>
                <w:rFonts w:ascii="Cambria Math" w:hAnsi="Cambria Math"/>
                <w:i/>
                <w:lang w:val="en-ZA"/>
              </w:rPr>
            </m:ctrlPr>
          </m:sSubSupPr>
          <m:e>
            <m:r>
              <w:rPr>
                <w:rFonts w:ascii="Cambria Math" w:hAnsi="Cambria Math"/>
                <w:lang w:val="en-ZA"/>
              </w:rPr>
              <m:t>B</m:t>
            </m:r>
          </m:e>
          <m:sub>
            <m:r>
              <w:rPr>
                <w:rFonts w:ascii="Cambria Math" w:hAnsi="Cambria Math"/>
                <w:lang w:val="en-ZA"/>
              </w:rPr>
              <m:t>75</m:t>
            </m:r>
          </m:sub>
          <m:sup>
            <m:r>
              <w:rPr>
                <w:rFonts w:ascii="Cambria Math" w:hAnsi="Cambria Math"/>
                <w:lang w:val="en-ZA"/>
              </w:rPr>
              <m:t>m</m:t>
            </m:r>
          </m:sup>
        </m:sSubSup>
        <m:r>
          <w:rPr>
            <w:rFonts w:ascii="Cambria Math" w:hAnsi="Cambria Math"/>
            <w:lang w:val="en-ZA"/>
          </w:rPr>
          <m:t>/K</m:t>
        </m:r>
      </m:oMath>
      <w:r>
        <w:rPr>
          <w:rFonts w:eastAsiaTheme="minorEastAsia"/>
          <w:lang w:val="en-ZA"/>
        </w:rPr>
        <w:t xml:space="preserve"> trends for all five super-areas and the combined resource for the 2010 updated assessments using the “original” model variant.</w:t>
      </w:r>
      <w:r w:rsidR="004E2989">
        <w:rPr>
          <w:rFonts w:eastAsiaTheme="minorEastAsia"/>
          <w:lang w:val="en-ZA"/>
        </w:rPr>
        <w:t xml:space="preserve"> The right panel is a 1980+ “zoom in”.</w:t>
      </w:r>
    </w:p>
    <w:p w:rsidR="006111E8" w:rsidRPr="00E202BE" w:rsidRDefault="006111E8" w:rsidP="006111E8">
      <w:pPr>
        <w:rPr>
          <w:lang w:val="en-ZA"/>
        </w:rPr>
      </w:pPr>
      <w:r w:rsidRPr="006111E8">
        <w:rPr>
          <w:noProof/>
          <w:lang w:val="en-ZA" w:eastAsia="en-ZA"/>
        </w:rPr>
        <w:drawing>
          <wp:inline distT="0" distB="0" distL="0" distR="0">
            <wp:extent cx="4690489" cy="7313483"/>
            <wp:effectExtent l="1905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738" cy="731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1E8" w:rsidRDefault="006111E8">
      <w:pPr>
        <w:rPr>
          <w:lang w:val="en-ZA"/>
        </w:rPr>
      </w:pPr>
      <w:r>
        <w:rPr>
          <w:lang w:val="en-ZA"/>
        </w:rPr>
        <w:br w:type="page"/>
      </w:r>
    </w:p>
    <w:p w:rsidR="00723035" w:rsidRDefault="00723035" w:rsidP="00723035">
      <w:pPr>
        <w:rPr>
          <w:rFonts w:eastAsiaTheme="minorEastAsia"/>
          <w:lang w:val="en-ZA"/>
        </w:rPr>
      </w:pPr>
      <w:r>
        <w:rPr>
          <w:lang w:val="en-ZA"/>
        </w:rPr>
        <w:lastRenderedPageBreak/>
        <w:t>Figure 3c</w:t>
      </w:r>
      <w:r w:rsidR="006111E8">
        <w:rPr>
          <w:lang w:val="en-ZA"/>
        </w:rPr>
        <w:t xml:space="preserve">: </w:t>
      </w:r>
      <w:r w:rsidR="004E2989">
        <w:rPr>
          <w:lang w:val="en-ZA"/>
        </w:rPr>
        <w:t xml:space="preserve">Comparison of </w:t>
      </w:r>
      <m:oMath>
        <m:sSubSup>
          <m:sSubSupPr>
            <m:ctrlPr>
              <w:rPr>
                <w:rFonts w:ascii="Cambria Math" w:hAnsi="Cambria Math"/>
                <w:i/>
                <w:lang w:val="en-ZA"/>
              </w:rPr>
            </m:ctrlPr>
          </m:sSubSupPr>
          <m:e>
            <m:r>
              <w:rPr>
                <w:rFonts w:ascii="Cambria Math" w:hAnsi="Cambria Math"/>
                <w:lang w:val="en-ZA"/>
              </w:rPr>
              <m:t>B</m:t>
            </m:r>
          </m:e>
          <m:sub>
            <m:r>
              <w:rPr>
                <w:rFonts w:ascii="Cambria Math" w:hAnsi="Cambria Math"/>
                <w:lang w:val="en-ZA"/>
              </w:rPr>
              <m:t>75</m:t>
            </m:r>
          </m:sub>
          <m:sup>
            <m:r>
              <w:rPr>
                <w:rFonts w:ascii="Cambria Math" w:hAnsi="Cambria Math"/>
                <w:lang w:val="en-ZA"/>
              </w:rPr>
              <m:t>m</m:t>
            </m:r>
          </m:sup>
        </m:sSubSup>
      </m:oMath>
      <w:r>
        <w:rPr>
          <w:rFonts w:eastAsiaTheme="minorEastAsia"/>
          <w:lang w:val="en-ZA"/>
        </w:rPr>
        <w:t xml:space="preserve"> </w:t>
      </w:r>
      <w:r w:rsidR="004E2989">
        <w:rPr>
          <w:rFonts w:eastAsiaTheme="minorEastAsia"/>
          <w:lang w:val="en-ZA"/>
        </w:rPr>
        <w:t xml:space="preserve">and </w:t>
      </w:r>
      <m:oMath>
        <m:sSubSup>
          <m:sSubSupPr>
            <m:ctrlPr>
              <w:rPr>
                <w:rFonts w:ascii="Cambria Math" w:hAnsi="Cambria Math"/>
                <w:i/>
                <w:lang w:val="en-ZA"/>
              </w:rPr>
            </m:ctrlPr>
          </m:sSubSupPr>
          <m:e>
            <m:r>
              <w:rPr>
                <w:rFonts w:ascii="Cambria Math" w:hAnsi="Cambria Math"/>
                <w:lang w:val="en-ZA"/>
              </w:rPr>
              <m:t>B</m:t>
            </m:r>
          </m:e>
          <m:sub>
            <m:r>
              <w:rPr>
                <w:rFonts w:ascii="Cambria Math" w:hAnsi="Cambria Math"/>
                <w:lang w:val="en-ZA"/>
              </w:rPr>
              <m:t>75</m:t>
            </m:r>
          </m:sub>
          <m:sup>
            <m:r>
              <w:rPr>
                <w:rFonts w:ascii="Cambria Math" w:hAnsi="Cambria Math"/>
                <w:lang w:val="en-ZA"/>
              </w:rPr>
              <m:t>m</m:t>
            </m:r>
          </m:sup>
        </m:sSubSup>
        <m:r>
          <w:rPr>
            <w:rFonts w:ascii="Cambria Math" w:hAnsi="Cambria Math"/>
            <w:lang w:val="en-ZA"/>
          </w:rPr>
          <m:t>/K</m:t>
        </m:r>
      </m:oMath>
      <w:r w:rsidR="004E2989">
        <w:rPr>
          <w:rFonts w:eastAsiaTheme="minorEastAsia"/>
          <w:lang w:val="en-ZA"/>
        </w:rPr>
        <w:t xml:space="preserve"> trends</w:t>
      </w:r>
      <w:r>
        <w:rPr>
          <w:rFonts w:eastAsiaTheme="minorEastAsia"/>
          <w:lang w:val="en-ZA"/>
        </w:rPr>
        <w:t xml:space="preserve"> for all five super-areas for the 2010 updated assessments using the “original” model variant.</w:t>
      </w:r>
      <w:r w:rsidR="004E2989">
        <w:rPr>
          <w:rFonts w:eastAsiaTheme="minorEastAsia"/>
          <w:lang w:val="en-ZA"/>
        </w:rPr>
        <w:t xml:space="preserve"> The right panel is a 1980+ “zoom in”.</w:t>
      </w:r>
    </w:p>
    <w:p w:rsidR="004E2989" w:rsidRDefault="004E2989">
      <w:pPr>
        <w:rPr>
          <w:lang w:val="en-ZA"/>
        </w:rPr>
      </w:pPr>
    </w:p>
    <w:p w:rsidR="006111E8" w:rsidRDefault="00723035">
      <w:pPr>
        <w:rPr>
          <w:lang w:val="en-ZA"/>
        </w:rPr>
      </w:pPr>
      <w:r w:rsidRPr="00723035">
        <w:rPr>
          <w:noProof/>
          <w:lang w:val="en-ZA" w:eastAsia="en-ZA"/>
        </w:rPr>
        <w:drawing>
          <wp:inline distT="0" distB="0" distL="0" distR="0">
            <wp:extent cx="5943600" cy="3105697"/>
            <wp:effectExtent l="19050" t="0" r="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5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989" w:rsidRDefault="004E2989">
      <w:pPr>
        <w:rPr>
          <w:lang w:val="en-ZA"/>
        </w:rPr>
      </w:pPr>
    </w:p>
    <w:p w:rsidR="004E2989" w:rsidRDefault="004E2989">
      <w:pPr>
        <w:rPr>
          <w:lang w:val="en-ZA"/>
        </w:rPr>
      </w:pPr>
      <w:r>
        <w:rPr>
          <w:lang w:val="en-ZA"/>
        </w:rPr>
        <w:br w:type="page"/>
      </w:r>
    </w:p>
    <w:p w:rsidR="004E2989" w:rsidRDefault="004E2989">
      <w:pPr>
        <w:rPr>
          <w:lang w:val="en-ZA"/>
        </w:rPr>
      </w:pPr>
      <w:r>
        <w:rPr>
          <w:lang w:val="en-ZA"/>
        </w:rPr>
        <w:lastRenderedPageBreak/>
        <w:t>Figure 4: Comparison between the “new” and “original” model variants combined</w:t>
      </w:r>
      <w:r>
        <w:rPr>
          <w:rFonts w:eastAsiaTheme="minorEastAsia"/>
          <w:lang w:val="en-Z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en-ZA"/>
              </w:rPr>
            </m:ctrlPr>
          </m:sSubSupPr>
          <m:e>
            <m:r>
              <w:rPr>
                <w:rFonts w:ascii="Cambria Math" w:hAnsi="Cambria Math"/>
                <w:lang w:val="en-ZA"/>
              </w:rPr>
              <m:t>B</m:t>
            </m:r>
          </m:e>
          <m:sub>
            <m:r>
              <w:rPr>
                <w:rFonts w:ascii="Cambria Math" w:hAnsi="Cambria Math"/>
                <w:lang w:val="en-ZA"/>
              </w:rPr>
              <m:t>75</m:t>
            </m:r>
          </m:sub>
          <m:sup>
            <m:r>
              <w:rPr>
                <w:rFonts w:ascii="Cambria Math" w:hAnsi="Cambria Math"/>
                <w:lang w:val="en-ZA"/>
              </w:rPr>
              <m:t>m</m:t>
            </m:r>
          </m:sup>
        </m:sSubSup>
        <m:r>
          <w:rPr>
            <w:rFonts w:ascii="Cambria Math" w:hAnsi="Cambria Math"/>
            <w:lang w:val="en-ZA"/>
          </w:rPr>
          <m:t>/K</m:t>
        </m:r>
      </m:oMath>
      <w:r>
        <w:rPr>
          <w:rFonts w:eastAsiaTheme="minorEastAsia"/>
          <w:lang w:val="en-ZA"/>
        </w:rPr>
        <w:t xml:space="preserve"> trends. The bottom plot is the 1980+ “zoom in”.</w:t>
      </w:r>
    </w:p>
    <w:p w:rsidR="004E2989" w:rsidRDefault="004E2989">
      <w:pPr>
        <w:rPr>
          <w:lang w:val="en-ZA"/>
        </w:rPr>
      </w:pPr>
      <w:r w:rsidRPr="004E2989">
        <w:rPr>
          <w:noProof/>
          <w:lang w:val="en-ZA" w:eastAsia="en-ZA"/>
        </w:rPr>
        <w:drawing>
          <wp:inline distT="0" distB="0" distL="0" distR="0">
            <wp:extent cx="5434965" cy="5515610"/>
            <wp:effectExtent l="19050" t="0" r="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965" cy="551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989" w:rsidRDefault="004E2989">
      <w:pPr>
        <w:rPr>
          <w:lang w:val="en-ZA"/>
        </w:rPr>
      </w:pPr>
      <w:r>
        <w:rPr>
          <w:lang w:val="en-ZA"/>
        </w:rPr>
        <w:br w:type="page"/>
      </w:r>
    </w:p>
    <w:p w:rsidR="004E2989" w:rsidRDefault="004E2989">
      <w:pPr>
        <w:rPr>
          <w:lang w:val="en-ZA"/>
        </w:rPr>
      </w:pPr>
      <w:r>
        <w:rPr>
          <w:lang w:val="en-ZA"/>
        </w:rPr>
        <w:lastRenderedPageBreak/>
        <w:t xml:space="preserve">Figure 5: </w:t>
      </w:r>
      <w:r w:rsidR="009459A1">
        <w:rPr>
          <w:lang w:val="en-ZA"/>
        </w:rPr>
        <w:t>The</w:t>
      </w:r>
      <w:r w:rsidR="009459A1" w:rsidRPr="009459A1">
        <w:rPr>
          <w:lang w:val="en-ZA"/>
        </w:rPr>
        <w:t xml:space="preserve"> </w:t>
      </w:r>
      <w:r w:rsidR="009459A1">
        <w:rPr>
          <w:lang w:val="en-ZA"/>
        </w:rPr>
        <w:t>combined</w:t>
      </w:r>
      <w:r w:rsidR="009459A1">
        <w:rPr>
          <w:rFonts w:eastAsiaTheme="minorEastAsia"/>
          <w:lang w:val="en-ZA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lang w:val="en-ZA"/>
              </w:rPr>
            </m:ctrlPr>
          </m:sSubSupPr>
          <m:e>
            <m:r>
              <w:rPr>
                <w:rFonts w:ascii="Cambria Math" w:hAnsi="Cambria Math"/>
                <w:lang w:val="en-ZA"/>
              </w:rPr>
              <m:t>B</m:t>
            </m:r>
          </m:e>
          <m:sub>
            <m:r>
              <w:rPr>
                <w:rFonts w:ascii="Cambria Math" w:hAnsi="Cambria Math"/>
                <w:lang w:val="en-ZA"/>
              </w:rPr>
              <m:t>75</m:t>
            </m:r>
          </m:sub>
          <m:sup>
            <m:r>
              <w:rPr>
                <w:rFonts w:ascii="Cambria Math" w:hAnsi="Cambria Math"/>
                <w:lang w:val="en-ZA"/>
              </w:rPr>
              <m:t>m</m:t>
            </m:r>
          </m:sup>
        </m:sSubSup>
        <m:r>
          <w:rPr>
            <w:rFonts w:ascii="Cambria Math" w:hAnsi="Cambria Math"/>
            <w:lang w:val="en-ZA"/>
          </w:rPr>
          <m:t>/K</m:t>
        </m:r>
      </m:oMath>
      <w:r w:rsidR="009459A1">
        <w:rPr>
          <w:rFonts w:eastAsiaTheme="minorEastAsia"/>
          <w:lang w:val="en-ZA"/>
        </w:rPr>
        <w:t xml:space="preserve"> trend relative to the unexploited level (</w:t>
      </w:r>
      <w:r w:rsidR="009459A1" w:rsidRPr="009459A1">
        <w:rPr>
          <w:rFonts w:eastAsiaTheme="minorEastAsia"/>
          <w:i/>
          <w:lang w:val="en-ZA"/>
        </w:rPr>
        <w:t>K</w:t>
      </w:r>
      <w:r w:rsidR="009459A1">
        <w:rPr>
          <w:rFonts w:eastAsiaTheme="minorEastAsia"/>
          <w:lang w:val="en-ZA"/>
        </w:rPr>
        <w:t>). The green circle shows the intended biomass recovery target level for OMP 1997, and the red square shows the intended biomass recovery target for OMP 2007.</w:t>
      </w:r>
    </w:p>
    <w:p w:rsidR="004E2989" w:rsidRPr="00E202BE" w:rsidRDefault="009459A1">
      <w:pPr>
        <w:rPr>
          <w:lang w:val="en-ZA"/>
        </w:rPr>
      </w:pPr>
      <w:r w:rsidRPr="009459A1">
        <w:rPr>
          <w:noProof/>
          <w:lang w:val="en-ZA" w:eastAsia="en-ZA"/>
        </w:rPr>
        <w:drawing>
          <wp:inline distT="0" distB="0" distL="0" distR="0">
            <wp:extent cx="5464175" cy="2765425"/>
            <wp:effectExtent l="19050" t="0" r="3175" b="0"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175" cy="276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989" w:rsidRPr="00E202BE" w:rsidSect="00B3440E">
      <w:headerReference w:type="default" r:id="rId13"/>
      <w:foot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6DF" w:rsidRDefault="00F636DF" w:rsidP="00E202BE">
      <w:pPr>
        <w:spacing w:after="0" w:line="240" w:lineRule="auto"/>
      </w:pPr>
      <w:r>
        <w:separator/>
      </w:r>
    </w:p>
  </w:endnote>
  <w:endnote w:type="continuationSeparator" w:id="0">
    <w:p w:rsidR="00F636DF" w:rsidRDefault="00F636DF" w:rsidP="00E2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018"/>
      <w:docPartObj>
        <w:docPartGallery w:val="Page Numbers (Bottom of Page)"/>
        <w:docPartUnique/>
      </w:docPartObj>
    </w:sdtPr>
    <w:sdtContent>
      <w:p w:rsidR="009459A1" w:rsidRDefault="008C21CC">
        <w:pPr>
          <w:pStyle w:val="Footer"/>
          <w:jc w:val="center"/>
        </w:pPr>
        <w:fldSimple w:instr=" PAGE   \* MERGEFORMAT ">
          <w:r w:rsidR="009E62CB">
            <w:rPr>
              <w:noProof/>
            </w:rPr>
            <w:t>1</w:t>
          </w:r>
        </w:fldSimple>
      </w:p>
    </w:sdtContent>
  </w:sdt>
  <w:p w:rsidR="009459A1" w:rsidRDefault="00945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6DF" w:rsidRDefault="00F636DF" w:rsidP="00E202BE">
      <w:pPr>
        <w:spacing w:after="0" w:line="240" w:lineRule="auto"/>
      </w:pPr>
      <w:r>
        <w:separator/>
      </w:r>
    </w:p>
  </w:footnote>
  <w:footnote w:type="continuationSeparator" w:id="0">
    <w:p w:rsidR="00F636DF" w:rsidRDefault="00F636DF" w:rsidP="00E2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BE" w:rsidRPr="00E202BE" w:rsidRDefault="00E202BE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9E62CB">
      <w:rPr>
        <w:lang w:val="en-ZA"/>
      </w:rPr>
      <w:t xml:space="preserve">MARAM </w:t>
    </w:r>
    <w:r>
      <w:rPr>
        <w:lang w:val="en-ZA"/>
      </w:rPr>
      <w:t>IWS/DEC10/WCRL/WP4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2BE"/>
    <w:rsid w:val="0039435C"/>
    <w:rsid w:val="003C3683"/>
    <w:rsid w:val="004E2989"/>
    <w:rsid w:val="00531A9E"/>
    <w:rsid w:val="006111E8"/>
    <w:rsid w:val="00670321"/>
    <w:rsid w:val="00723035"/>
    <w:rsid w:val="007563D5"/>
    <w:rsid w:val="008A3A67"/>
    <w:rsid w:val="008C21CC"/>
    <w:rsid w:val="009459A1"/>
    <w:rsid w:val="009E62CB"/>
    <w:rsid w:val="00AF731F"/>
    <w:rsid w:val="00B3440E"/>
    <w:rsid w:val="00C07111"/>
    <w:rsid w:val="00E202BE"/>
    <w:rsid w:val="00E327EE"/>
    <w:rsid w:val="00EE7745"/>
    <w:rsid w:val="00F6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2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02BE"/>
  </w:style>
  <w:style w:type="paragraph" w:styleId="Footer">
    <w:name w:val="footer"/>
    <w:basedOn w:val="Normal"/>
    <w:link w:val="FooterChar"/>
    <w:uiPriority w:val="99"/>
    <w:unhideWhenUsed/>
    <w:rsid w:val="00E202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BE"/>
  </w:style>
  <w:style w:type="character" w:styleId="PlaceholderText">
    <w:name w:val="Placeholder Text"/>
    <w:basedOn w:val="DefaultParagraphFont"/>
    <w:uiPriority w:val="99"/>
    <w:semiHidden/>
    <w:rsid w:val="00531A9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4</cp:revision>
  <dcterms:created xsi:type="dcterms:W3CDTF">2010-12-02T08:47:00Z</dcterms:created>
  <dcterms:modified xsi:type="dcterms:W3CDTF">2010-12-03T09:22:00Z</dcterms:modified>
</cp:coreProperties>
</file>