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60C" w:rsidRDefault="002E3AC3" w:rsidP="0006173F">
      <w:pPr>
        <w:jc w:val="center"/>
        <w:rPr>
          <w:rFonts w:ascii="Times New Roman" w:hAnsi="Times New Roman" w:cs="Times New Roman"/>
          <w:b/>
          <w:sz w:val="28"/>
          <w:szCs w:val="28"/>
        </w:rPr>
      </w:pPr>
      <w:r w:rsidRPr="002E3AC3">
        <w:rPr>
          <w:rFonts w:ascii="Times New Roman" w:hAnsi="Times New Roman" w:cs="Times New Roman"/>
          <w:b/>
          <w:color w:val="000000"/>
          <w:sz w:val="28"/>
          <w:szCs w:val="28"/>
          <w:shd w:val="clear" w:color="auto" w:fill="FFFFFF"/>
        </w:rPr>
        <w:t xml:space="preserve">An Overview of </w:t>
      </w:r>
      <w:r w:rsidR="0006173F" w:rsidRPr="002E3AC3">
        <w:rPr>
          <w:rFonts w:ascii="Times New Roman" w:hAnsi="Times New Roman" w:cs="Times New Roman"/>
          <w:b/>
          <w:sz w:val="28"/>
          <w:szCs w:val="28"/>
        </w:rPr>
        <w:t>the South</w:t>
      </w:r>
      <w:r w:rsidR="0006173F" w:rsidRPr="0006173F">
        <w:rPr>
          <w:rFonts w:ascii="Times New Roman" w:hAnsi="Times New Roman" w:cs="Times New Roman"/>
          <w:b/>
          <w:sz w:val="28"/>
          <w:szCs w:val="28"/>
        </w:rPr>
        <w:t xml:space="preserve"> African </w:t>
      </w:r>
      <w:proofErr w:type="spellStart"/>
      <w:r w:rsidR="0006173F" w:rsidRPr="0006173F">
        <w:rPr>
          <w:rFonts w:ascii="Times New Roman" w:hAnsi="Times New Roman" w:cs="Times New Roman"/>
          <w:b/>
          <w:sz w:val="28"/>
          <w:szCs w:val="28"/>
        </w:rPr>
        <w:t>Linefish</w:t>
      </w:r>
      <w:proofErr w:type="spellEnd"/>
      <w:r w:rsidR="00F10E20">
        <w:rPr>
          <w:rFonts w:ascii="Times New Roman" w:hAnsi="Times New Roman" w:cs="Times New Roman"/>
          <w:b/>
          <w:sz w:val="28"/>
          <w:szCs w:val="28"/>
        </w:rPr>
        <w:t xml:space="preserve"> fishery</w:t>
      </w:r>
    </w:p>
    <w:p w:rsidR="0006173F" w:rsidRDefault="001F7A25" w:rsidP="0006173F">
      <w:pPr>
        <w:jc w:val="center"/>
        <w:rPr>
          <w:rFonts w:ascii="Times New Roman" w:hAnsi="Times New Roman" w:cs="Times New Roman"/>
        </w:rPr>
      </w:pPr>
      <w:r>
        <w:rPr>
          <w:rFonts w:ascii="Times New Roman" w:hAnsi="Times New Roman" w:cs="Times New Roman"/>
        </w:rPr>
        <w:t>Denham Parker</w:t>
      </w:r>
      <w:r w:rsidRPr="001F7A25">
        <w:rPr>
          <w:rFonts w:ascii="Times New Roman" w:hAnsi="Times New Roman" w:cs="Times New Roman"/>
          <w:vertAlign w:val="superscript"/>
        </w:rPr>
        <w:t>1</w:t>
      </w:r>
      <w:r>
        <w:rPr>
          <w:rFonts w:ascii="Times New Roman" w:hAnsi="Times New Roman" w:cs="Times New Roman"/>
        </w:rPr>
        <w:t>, Henning</w:t>
      </w:r>
      <w:r w:rsidR="00941BFA">
        <w:rPr>
          <w:rFonts w:ascii="Times New Roman" w:hAnsi="Times New Roman" w:cs="Times New Roman"/>
        </w:rPr>
        <w:t xml:space="preserve"> </w:t>
      </w:r>
      <w:r>
        <w:rPr>
          <w:rFonts w:ascii="Times New Roman" w:hAnsi="Times New Roman" w:cs="Times New Roman"/>
        </w:rPr>
        <w:t>Winker</w:t>
      </w:r>
      <w:r w:rsidRPr="001F7A25">
        <w:rPr>
          <w:rFonts w:ascii="Times New Roman" w:hAnsi="Times New Roman" w:cs="Times New Roman"/>
          <w:vertAlign w:val="superscript"/>
        </w:rPr>
        <w:t>1</w:t>
      </w:r>
      <w:r>
        <w:rPr>
          <w:rFonts w:ascii="Times New Roman" w:hAnsi="Times New Roman" w:cs="Times New Roman"/>
        </w:rPr>
        <w:t>, Sven Kerwath</w:t>
      </w:r>
      <w:r w:rsidRPr="001F7A25">
        <w:rPr>
          <w:rFonts w:ascii="Times New Roman" w:hAnsi="Times New Roman" w:cs="Times New Roman"/>
          <w:vertAlign w:val="superscript"/>
        </w:rPr>
        <w:t xml:space="preserve">1,2 </w:t>
      </w:r>
      <w:r>
        <w:rPr>
          <w:rFonts w:ascii="Times New Roman" w:hAnsi="Times New Roman" w:cs="Times New Roman"/>
        </w:rPr>
        <w:t>&amp; Colin</w:t>
      </w:r>
      <w:r w:rsidR="0006173F" w:rsidRPr="0006173F">
        <w:rPr>
          <w:rFonts w:ascii="Times New Roman" w:hAnsi="Times New Roman" w:cs="Times New Roman"/>
        </w:rPr>
        <w:t xml:space="preserve"> Attwood</w:t>
      </w:r>
      <w:r w:rsidRPr="001F7A25">
        <w:rPr>
          <w:rFonts w:ascii="Times New Roman" w:hAnsi="Times New Roman" w:cs="Times New Roman"/>
          <w:vertAlign w:val="superscript"/>
        </w:rPr>
        <w:t>2</w:t>
      </w:r>
      <w:r w:rsidR="0006173F" w:rsidRPr="0006173F">
        <w:rPr>
          <w:rFonts w:ascii="Times New Roman" w:hAnsi="Times New Roman" w:cs="Times New Roman"/>
        </w:rPr>
        <w:t xml:space="preserve"> </w:t>
      </w:r>
    </w:p>
    <w:p w:rsidR="001F7A25" w:rsidRDefault="001F7A25" w:rsidP="001F7A25">
      <w:pPr>
        <w:spacing w:after="0"/>
        <w:rPr>
          <w:rFonts w:ascii="Times New Roman" w:hAnsi="Times New Roman" w:cs="Times New Roman"/>
          <w:i/>
          <w:sz w:val="20"/>
          <w:szCs w:val="20"/>
        </w:rPr>
      </w:pPr>
      <w:r w:rsidRPr="001F7A25">
        <w:rPr>
          <w:rFonts w:ascii="Times New Roman" w:hAnsi="Times New Roman" w:cs="Times New Roman"/>
          <w:i/>
          <w:sz w:val="20"/>
          <w:szCs w:val="20"/>
          <w:vertAlign w:val="superscript"/>
        </w:rPr>
        <w:t>1</w:t>
      </w:r>
      <w:r w:rsidRPr="00E91098">
        <w:rPr>
          <w:rFonts w:ascii="Times New Roman" w:hAnsi="Times New Roman" w:cs="Times New Roman"/>
          <w:i/>
          <w:sz w:val="20"/>
          <w:szCs w:val="20"/>
        </w:rPr>
        <w:t xml:space="preserve">DAFF - Department of Agriculture, Forestry and Fisheries, Private Bag X2, Rogge Bay 8012, South Africa. </w:t>
      </w:r>
    </w:p>
    <w:p w:rsidR="001F7A25" w:rsidRPr="001F7A25" w:rsidRDefault="001F7A25" w:rsidP="001F7A25">
      <w:pPr>
        <w:widowControl w:val="0"/>
        <w:spacing w:after="0"/>
        <w:rPr>
          <w:rFonts w:ascii="Times New Roman" w:hAnsi="Times New Roman" w:cs="Times New Roman"/>
          <w:i/>
          <w:sz w:val="20"/>
          <w:szCs w:val="20"/>
        </w:rPr>
      </w:pPr>
      <w:r>
        <w:rPr>
          <w:rFonts w:ascii="Times New Roman" w:hAnsi="Times New Roman" w:cs="Times New Roman"/>
          <w:i/>
          <w:sz w:val="20"/>
          <w:szCs w:val="20"/>
          <w:vertAlign w:val="superscript"/>
        </w:rPr>
        <w:t>2</w:t>
      </w:r>
      <w:r w:rsidRPr="001F7A25">
        <w:rPr>
          <w:rFonts w:ascii="Times New Roman" w:hAnsi="Times New Roman" w:cs="Times New Roman"/>
          <w:i/>
          <w:sz w:val="20"/>
          <w:szCs w:val="20"/>
        </w:rPr>
        <w:t>Department of Biological Sciences, University of Cape Town, Cape Town, South Africa</w:t>
      </w:r>
    </w:p>
    <w:p w:rsidR="001F7A25" w:rsidRDefault="001F7A25" w:rsidP="00616F95">
      <w:pPr>
        <w:jc w:val="both"/>
        <w:rPr>
          <w:rFonts w:ascii="Times New Roman" w:hAnsi="Times New Roman" w:cs="Times New Roman"/>
          <w:b/>
        </w:rPr>
      </w:pPr>
    </w:p>
    <w:p w:rsidR="00FA360C" w:rsidRPr="00616F95" w:rsidRDefault="00DE6199" w:rsidP="00616F95">
      <w:pPr>
        <w:jc w:val="both"/>
        <w:rPr>
          <w:rFonts w:ascii="Times New Roman" w:hAnsi="Times New Roman" w:cs="Times New Roman"/>
          <w:b/>
        </w:rPr>
      </w:pPr>
      <w:r>
        <w:rPr>
          <w:rFonts w:ascii="Times New Roman" w:hAnsi="Times New Roman" w:cs="Times New Roman"/>
          <w:b/>
        </w:rPr>
        <w:t>Overview</w:t>
      </w:r>
    </w:p>
    <w:p w:rsidR="00930382" w:rsidRPr="00616F95" w:rsidRDefault="00FA360C" w:rsidP="00616F95">
      <w:pPr>
        <w:jc w:val="both"/>
        <w:rPr>
          <w:rFonts w:ascii="Times New Roman" w:hAnsi="Times New Roman" w:cs="Times New Roman"/>
        </w:rPr>
      </w:pPr>
      <w:proofErr w:type="spellStart"/>
      <w:r w:rsidRPr="00616F95">
        <w:rPr>
          <w:rFonts w:ascii="Times New Roman" w:hAnsi="Times New Roman" w:cs="Times New Roman"/>
        </w:rPr>
        <w:t>Linefishing</w:t>
      </w:r>
      <w:proofErr w:type="spellEnd"/>
      <w:r w:rsidRPr="00616F95">
        <w:rPr>
          <w:rFonts w:ascii="Times New Roman" w:hAnsi="Times New Roman" w:cs="Times New Roman"/>
        </w:rPr>
        <w:t xml:space="preserve"> in South Africa is defined as the capture of fish with hook and </w:t>
      </w:r>
      <w:proofErr w:type="gramStart"/>
      <w:r w:rsidRPr="00616F95">
        <w:rPr>
          <w:rFonts w:ascii="Times New Roman" w:hAnsi="Times New Roman" w:cs="Times New Roman"/>
        </w:rPr>
        <w:t>line, but</w:t>
      </w:r>
      <w:proofErr w:type="gramEnd"/>
      <w:r w:rsidRPr="00616F95">
        <w:rPr>
          <w:rFonts w:ascii="Times New Roman" w:hAnsi="Times New Roman" w:cs="Times New Roman"/>
        </w:rPr>
        <w:t xml:space="preserve"> excludes the use of longlines. Together, the three sectors of the </w:t>
      </w:r>
      <w:proofErr w:type="spellStart"/>
      <w:r w:rsidRPr="00616F95">
        <w:rPr>
          <w:rFonts w:ascii="Times New Roman" w:hAnsi="Times New Roman" w:cs="Times New Roman"/>
        </w:rPr>
        <w:t>linefishery</w:t>
      </w:r>
      <w:proofErr w:type="spellEnd"/>
      <w:r w:rsidRPr="00616F95">
        <w:rPr>
          <w:rFonts w:ascii="Times New Roman" w:hAnsi="Times New Roman" w:cs="Times New Roman"/>
        </w:rPr>
        <w:t xml:space="preserve"> (commercial, recreational and small-scale/subsistence) target between</w:t>
      </w:r>
      <w:r w:rsidR="00941BFA">
        <w:rPr>
          <w:rFonts w:ascii="Times New Roman" w:hAnsi="Times New Roman" w:cs="Times New Roman"/>
        </w:rPr>
        <w:t xml:space="preserve"> 95 and 200 of South Africa’s 2,</w:t>
      </w:r>
      <w:r w:rsidRPr="00616F95">
        <w:rPr>
          <w:rFonts w:ascii="Times New Roman" w:hAnsi="Times New Roman" w:cs="Times New Roman"/>
        </w:rPr>
        <w:t xml:space="preserve">200 marine fish species. Target species include temperate, reef-associated seabreams (e.g. roman, </w:t>
      </w:r>
      <w:proofErr w:type="spellStart"/>
      <w:r w:rsidRPr="00616F95">
        <w:rPr>
          <w:rFonts w:ascii="Times New Roman" w:hAnsi="Times New Roman" w:cs="Times New Roman"/>
        </w:rPr>
        <w:t>hottentot</w:t>
      </w:r>
      <w:proofErr w:type="spellEnd"/>
      <w:r w:rsidRPr="00616F95">
        <w:rPr>
          <w:rFonts w:ascii="Times New Roman" w:hAnsi="Times New Roman" w:cs="Times New Roman"/>
        </w:rPr>
        <w:t xml:space="preserve"> seabream, </w:t>
      </w:r>
      <w:proofErr w:type="spellStart"/>
      <w:r w:rsidRPr="00616F95">
        <w:rPr>
          <w:rFonts w:ascii="Times New Roman" w:hAnsi="Times New Roman" w:cs="Times New Roman"/>
        </w:rPr>
        <w:t>santer</w:t>
      </w:r>
      <w:proofErr w:type="spellEnd"/>
      <w:r w:rsidRPr="00616F95">
        <w:rPr>
          <w:rFonts w:ascii="Times New Roman" w:hAnsi="Times New Roman" w:cs="Times New Roman"/>
        </w:rPr>
        <w:t xml:space="preserve"> and slinger), coastal migrants (e.g. </w:t>
      </w:r>
      <w:proofErr w:type="spellStart"/>
      <w:r w:rsidRPr="00616F95">
        <w:rPr>
          <w:rFonts w:ascii="Times New Roman" w:hAnsi="Times New Roman" w:cs="Times New Roman"/>
        </w:rPr>
        <w:t>geelbek</w:t>
      </w:r>
      <w:proofErr w:type="spellEnd"/>
      <w:r w:rsidRPr="00616F95">
        <w:rPr>
          <w:rFonts w:ascii="Times New Roman" w:hAnsi="Times New Roman" w:cs="Times New Roman"/>
        </w:rPr>
        <w:t xml:space="preserve"> and dusky </w:t>
      </w:r>
      <w:proofErr w:type="spellStart"/>
      <w:r w:rsidRPr="00616F95">
        <w:rPr>
          <w:rFonts w:ascii="Times New Roman" w:hAnsi="Times New Roman" w:cs="Times New Roman"/>
        </w:rPr>
        <w:t>kob</w:t>
      </w:r>
      <w:proofErr w:type="spellEnd"/>
      <w:r w:rsidRPr="00616F95">
        <w:rPr>
          <w:rFonts w:ascii="Times New Roman" w:hAnsi="Times New Roman" w:cs="Times New Roman"/>
        </w:rPr>
        <w:t xml:space="preserve">) and nomads (e.g. snoek and yellowtail). More than 90% of the current </w:t>
      </w:r>
      <w:proofErr w:type="spellStart"/>
      <w:r w:rsidRPr="00616F95">
        <w:rPr>
          <w:rFonts w:ascii="Times New Roman" w:hAnsi="Times New Roman" w:cs="Times New Roman"/>
        </w:rPr>
        <w:t>linefish</w:t>
      </w:r>
      <w:proofErr w:type="spellEnd"/>
      <w:r w:rsidRPr="00616F95">
        <w:rPr>
          <w:rFonts w:ascii="Times New Roman" w:hAnsi="Times New Roman" w:cs="Times New Roman"/>
        </w:rPr>
        <w:t xml:space="preserve"> catch is derived from the </w:t>
      </w:r>
      <w:proofErr w:type="gramStart"/>
      <w:r w:rsidRPr="00616F95">
        <w:rPr>
          <w:rFonts w:ascii="Times New Roman" w:hAnsi="Times New Roman" w:cs="Times New Roman"/>
        </w:rPr>
        <w:t>aforementioned eight</w:t>
      </w:r>
      <w:proofErr w:type="gramEnd"/>
      <w:r w:rsidRPr="00616F95">
        <w:rPr>
          <w:rFonts w:ascii="Times New Roman" w:hAnsi="Times New Roman" w:cs="Times New Roman"/>
        </w:rPr>
        <w:t xml:space="preserve"> species.</w:t>
      </w:r>
    </w:p>
    <w:p w:rsidR="00FA360C" w:rsidRPr="00616F95" w:rsidRDefault="00FA360C" w:rsidP="00616F95">
      <w:pPr>
        <w:jc w:val="both"/>
        <w:rPr>
          <w:rFonts w:ascii="Times New Roman" w:hAnsi="Times New Roman" w:cs="Times New Roman"/>
        </w:rPr>
      </w:pPr>
      <w:r w:rsidRPr="00616F95">
        <w:rPr>
          <w:rFonts w:ascii="Times New Roman" w:hAnsi="Times New Roman" w:cs="Times New Roman"/>
        </w:rPr>
        <w:t xml:space="preserve">The commercial </w:t>
      </w:r>
      <w:proofErr w:type="spellStart"/>
      <w:r w:rsidRPr="00616F95">
        <w:rPr>
          <w:rFonts w:ascii="Times New Roman" w:hAnsi="Times New Roman" w:cs="Times New Roman"/>
        </w:rPr>
        <w:t>linefishing</w:t>
      </w:r>
      <w:proofErr w:type="spellEnd"/>
      <w:r w:rsidRPr="00616F95">
        <w:rPr>
          <w:rFonts w:ascii="Times New Roman" w:hAnsi="Times New Roman" w:cs="Times New Roman"/>
        </w:rPr>
        <w:t xml:space="preserve"> sector is exclusively boat-based. The total number of registered vessels operating in this sector was estimated at 700 in the late 1990s, which accounted for 37% of all </w:t>
      </w:r>
      <w:r w:rsidR="002524AF">
        <w:rPr>
          <w:rFonts w:ascii="Times New Roman" w:hAnsi="Times New Roman" w:cs="Times New Roman"/>
        </w:rPr>
        <w:t xml:space="preserve">commercial fishing </w:t>
      </w:r>
      <w:r w:rsidRPr="00616F95">
        <w:rPr>
          <w:rFonts w:ascii="Times New Roman" w:hAnsi="Times New Roman" w:cs="Times New Roman"/>
        </w:rPr>
        <w:t xml:space="preserve">boats operating in marine fisheries in South Africa. From 2006 a maximum allocation of 455 boats has been maintained, however the number of boats allocated per zone has varied. Line-fishing is a low-earning, labour-intensive industry, important from a human livelihood point of view. Employing an estimated 27% of all fishers, it has the lowest average employment income of all South African fisheries. Although the commercial </w:t>
      </w:r>
      <w:proofErr w:type="spellStart"/>
      <w:r w:rsidRPr="00616F95">
        <w:rPr>
          <w:rFonts w:ascii="Times New Roman" w:hAnsi="Times New Roman" w:cs="Times New Roman"/>
        </w:rPr>
        <w:t>linefishery</w:t>
      </w:r>
      <w:proofErr w:type="spellEnd"/>
      <w:r w:rsidRPr="00616F95">
        <w:rPr>
          <w:rFonts w:ascii="Times New Roman" w:hAnsi="Times New Roman" w:cs="Times New Roman"/>
        </w:rPr>
        <w:t xml:space="preserve"> has the largest fleet, it contributes only 6% of the total estimated value all South African marine fisheries.</w:t>
      </w:r>
    </w:p>
    <w:p w:rsidR="00FA360C" w:rsidRPr="00616F95" w:rsidRDefault="00FA360C" w:rsidP="00616F95">
      <w:pPr>
        <w:jc w:val="both"/>
        <w:rPr>
          <w:rFonts w:ascii="Times New Roman" w:hAnsi="Times New Roman" w:cs="Times New Roman"/>
        </w:rPr>
      </w:pPr>
      <w:r w:rsidRPr="00616F95">
        <w:rPr>
          <w:rFonts w:ascii="Times New Roman" w:hAnsi="Times New Roman" w:cs="Times New Roman"/>
        </w:rPr>
        <w:t>After the introduction of the towable ski-boat in the late 1940s, the recreational boat-based sector expanded rapidly, with a</w:t>
      </w:r>
      <w:r w:rsidR="00941BFA">
        <w:rPr>
          <w:rFonts w:ascii="Times New Roman" w:hAnsi="Times New Roman" w:cs="Times New Roman"/>
        </w:rPr>
        <w:t>n estimated minimum number of 4,</w:t>
      </w:r>
      <w:r w:rsidRPr="00616F95">
        <w:rPr>
          <w:rFonts w:ascii="Times New Roman" w:hAnsi="Times New Roman" w:cs="Times New Roman"/>
        </w:rPr>
        <w:t xml:space="preserve">000 vessels. Landings from this open-access recreational fishery are not reported throughout the region, and for some areas and species, the total catch from this sector could be equivalent to that reported by the commercial sector. The recreational </w:t>
      </w:r>
      <w:proofErr w:type="spellStart"/>
      <w:r w:rsidRPr="00616F95">
        <w:rPr>
          <w:rFonts w:ascii="Times New Roman" w:hAnsi="Times New Roman" w:cs="Times New Roman"/>
        </w:rPr>
        <w:t>linefishery</w:t>
      </w:r>
      <w:proofErr w:type="spellEnd"/>
      <w:r w:rsidRPr="00616F95">
        <w:rPr>
          <w:rFonts w:ascii="Times New Roman" w:hAnsi="Times New Roman" w:cs="Times New Roman"/>
        </w:rPr>
        <w:t xml:space="preserve"> has by far the largest number of participants (&gt;450 000) of all fishery sectors in South Africa and consequently has great economic value. </w:t>
      </w:r>
    </w:p>
    <w:p w:rsidR="00FA360C" w:rsidRPr="00616F95" w:rsidRDefault="00FA360C" w:rsidP="00616F95">
      <w:pPr>
        <w:jc w:val="both"/>
        <w:rPr>
          <w:rFonts w:ascii="Times New Roman" w:hAnsi="Times New Roman" w:cs="Times New Roman"/>
        </w:rPr>
      </w:pPr>
      <w:r w:rsidRPr="00616F95">
        <w:rPr>
          <w:rFonts w:ascii="Times New Roman" w:hAnsi="Times New Roman" w:cs="Times New Roman"/>
        </w:rPr>
        <w:t>Recently, the small-scale/subsistence sector was legally created to recognize those fishers who depend on marine living resources for direct food security – usually very poor coastal communities or those using simple traditional met</w:t>
      </w:r>
      <w:r w:rsidR="00941BFA">
        <w:rPr>
          <w:rFonts w:ascii="Times New Roman" w:hAnsi="Times New Roman" w:cs="Times New Roman"/>
        </w:rPr>
        <w:t>hods. There are an estimated 30,</w:t>
      </w:r>
      <w:r w:rsidRPr="00616F95">
        <w:rPr>
          <w:rFonts w:ascii="Times New Roman" w:hAnsi="Times New Roman" w:cs="Times New Roman"/>
        </w:rPr>
        <w:t xml:space="preserve">000 small-scale fishers active along the South African coastline and 85% of them harvest </w:t>
      </w:r>
      <w:proofErr w:type="spellStart"/>
      <w:r w:rsidRPr="00616F95">
        <w:rPr>
          <w:rFonts w:ascii="Times New Roman" w:hAnsi="Times New Roman" w:cs="Times New Roman"/>
        </w:rPr>
        <w:t>linefish</w:t>
      </w:r>
      <w:proofErr w:type="spellEnd"/>
      <w:r w:rsidRPr="00616F95">
        <w:rPr>
          <w:rFonts w:ascii="Times New Roman" w:hAnsi="Times New Roman" w:cs="Times New Roman"/>
        </w:rPr>
        <w:t>.</w:t>
      </w:r>
    </w:p>
    <w:p w:rsidR="00616F95" w:rsidRDefault="00616F95" w:rsidP="00616F95">
      <w:pPr>
        <w:jc w:val="both"/>
        <w:rPr>
          <w:rFonts w:ascii="Times New Roman" w:hAnsi="Times New Roman" w:cs="Times New Roman"/>
          <w:b/>
        </w:rPr>
      </w:pPr>
    </w:p>
    <w:p w:rsidR="00FA360C" w:rsidRPr="00616F95" w:rsidRDefault="00FA360C" w:rsidP="00616F95">
      <w:pPr>
        <w:jc w:val="both"/>
        <w:rPr>
          <w:rFonts w:ascii="Times New Roman" w:hAnsi="Times New Roman" w:cs="Times New Roman"/>
          <w:b/>
        </w:rPr>
      </w:pPr>
      <w:r w:rsidRPr="00616F95">
        <w:rPr>
          <w:rFonts w:ascii="Times New Roman" w:hAnsi="Times New Roman" w:cs="Times New Roman"/>
          <w:b/>
        </w:rPr>
        <w:t xml:space="preserve">History and Management </w:t>
      </w:r>
    </w:p>
    <w:p w:rsidR="00FA360C" w:rsidRPr="00616F95" w:rsidRDefault="00FA360C" w:rsidP="00616F95">
      <w:pPr>
        <w:jc w:val="both"/>
        <w:rPr>
          <w:rFonts w:ascii="Times New Roman" w:hAnsi="Times New Roman" w:cs="Times New Roman"/>
        </w:rPr>
      </w:pPr>
      <w:r w:rsidRPr="00616F95">
        <w:rPr>
          <w:rFonts w:ascii="Times New Roman" w:hAnsi="Times New Roman" w:cs="Times New Roman"/>
        </w:rPr>
        <w:t xml:space="preserve">The origins of </w:t>
      </w:r>
      <w:proofErr w:type="spellStart"/>
      <w:r w:rsidRPr="00616F95">
        <w:rPr>
          <w:rFonts w:ascii="Times New Roman" w:hAnsi="Times New Roman" w:cs="Times New Roman"/>
        </w:rPr>
        <w:t>linefishing</w:t>
      </w:r>
      <w:proofErr w:type="spellEnd"/>
      <w:r w:rsidRPr="00616F95">
        <w:rPr>
          <w:rFonts w:ascii="Times New Roman" w:hAnsi="Times New Roman" w:cs="Times New Roman"/>
        </w:rPr>
        <w:t xml:space="preserve"> in South Africa can be traced back to the fishing activities of indigenous Khoi people and European seafarers in the 1500s. Despite an abundance of fish, the fishery was slow to develop in the 1700s due to various restrictions implemented by the Dutch administration. These fishing restrictions were removed when the British captured the Cape Colony in 1795, and during the 1800s boat-based </w:t>
      </w:r>
      <w:proofErr w:type="spellStart"/>
      <w:r w:rsidRPr="00616F95">
        <w:rPr>
          <w:rFonts w:ascii="Times New Roman" w:hAnsi="Times New Roman" w:cs="Times New Roman"/>
        </w:rPr>
        <w:t>linefishing</w:t>
      </w:r>
      <w:proofErr w:type="spellEnd"/>
      <w:r w:rsidRPr="00616F95">
        <w:rPr>
          <w:rFonts w:ascii="Times New Roman" w:hAnsi="Times New Roman" w:cs="Times New Roman"/>
        </w:rPr>
        <w:t xml:space="preserve"> developed into a thriving industry. </w:t>
      </w:r>
    </w:p>
    <w:p w:rsidR="00FA360C" w:rsidRPr="00616F95" w:rsidRDefault="00FA360C" w:rsidP="00616F95">
      <w:pPr>
        <w:jc w:val="both"/>
        <w:rPr>
          <w:rFonts w:ascii="Times New Roman" w:hAnsi="Times New Roman" w:cs="Times New Roman"/>
        </w:rPr>
      </w:pPr>
      <w:r w:rsidRPr="00616F95">
        <w:rPr>
          <w:rFonts w:ascii="Times New Roman" w:hAnsi="Times New Roman" w:cs="Times New Roman"/>
        </w:rPr>
        <w:t xml:space="preserve">Despite its long history, the first comprehensive management framework for the </w:t>
      </w:r>
      <w:proofErr w:type="spellStart"/>
      <w:r w:rsidRPr="00616F95">
        <w:rPr>
          <w:rFonts w:ascii="Times New Roman" w:hAnsi="Times New Roman" w:cs="Times New Roman"/>
        </w:rPr>
        <w:t>linefishery</w:t>
      </w:r>
      <w:proofErr w:type="spellEnd"/>
      <w:r w:rsidRPr="00616F95">
        <w:rPr>
          <w:rFonts w:ascii="Times New Roman" w:hAnsi="Times New Roman" w:cs="Times New Roman"/>
        </w:rPr>
        <w:t xml:space="preserve"> was only introduced in 1985 when this fishery was formally recognised. However, successive research surveys indicated continuing declines in </w:t>
      </w:r>
      <w:proofErr w:type="spellStart"/>
      <w:r w:rsidRPr="00616F95">
        <w:rPr>
          <w:rFonts w:ascii="Times New Roman" w:hAnsi="Times New Roman" w:cs="Times New Roman"/>
        </w:rPr>
        <w:t>linefish</w:t>
      </w:r>
      <w:proofErr w:type="spellEnd"/>
      <w:r w:rsidRPr="00616F95">
        <w:rPr>
          <w:rFonts w:ascii="Times New Roman" w:hAnsi="Times New Roman" w:cs="Times New Roman"/>
        </w:rPr>
        <w:t xml:space="preserve"> resources. In December 2000, the Minister of Environmental </w:t>
      </w:r>
      <w:r w:rsidRPr="00616F95">
        <w:rPr>
          <w:rFonts w:ascii="Times New Roman" w:hAnsi="Times New Roman" w:cs="Times New Roman"/>
        </w:rPr>
        <w:lastRenderedPageBreak/>
        <w:t xml:space="preserve">Affairs and Tourism, taking cognisance of the critical status of many </w:t>
      </w:r>
      <w:proofErr w:type="spellStart"/>
      <w:r w:rsidRPr="00616F95">
        <w:rPr>
          <w:rFonts w:ascii="Times New Roman" w:hAnsi="Times New Roman" w:cs="Times New Roman"/>
        </w:rPr>
        <w:t>linefish</w:t>
      </w:r>
      <w:proofErr w:type="spellEnd"/>
      <w:r w:rsidRPr="00616F95">
        <w:rPr>
          <w:rFonts w:ascii="Times New Roman" w:hAnsi="Times New Roman" w:cs="Times New Roman"/>
        </w:rPr>
        <w:t xml:space="preserve"> stocks, declared </w:t>
      </w:r>
      <w:proofErr w:type="spellStart"/>
      <w:r w:rsidRPr="00616F95">
        <w:rPr>
          <w:rFonts w:ascii="Times New Roman" w:hAnsi="Times New Roman" w:cs="Times New Roman"/>
        </w:rPr>
        <w:t>linefish</w:t>
      </w:r>
      <w:proofErr w:type="spellEnd"/>
      <w:r w:rsidRPr="00616F95">
        <w:rPr>
          <w:rFonts w:ascii="Times New Roman" w:hAnsi="Times New Roman" w:cs="Times New Roman"/>
        </w:rPr>
        <w:t xml:space="preserve"> resources to be in a State of Emergency, as provided for in the Marine Living Resources Act (MLRA, Act 18 of 1998). Effort was reduced and fixed at 450 vessels and the hake and tuna components were developed into separate sectors. To rebuild collapsed stocks and to achieve a sustainable level of utilisation, a </w:t>
      </w:r>
      <w:proofErr w:type="spellStart"/>
      <w:r w:rsidRPr="00616F95">
        <w:rPr>
          <w:rFonts w:ascii="Times New Roman" w:hAnsi="Times New Roman" w:cs="Times New Roman"/>
        </w:rPr>
        <w:t>Linefish</w:t>
      </w:r>
      <w:proofErr w:type="spellEnd"/>
      <w:r w:rsidRPr="00616F95">
        <w:rPr>
          <w:rFonts w:ascii="Times New Roman" w:hAnsi="Times New Roman" w:cs="Times New Roman"/>
        </w:rPr>
        <w:t xml:space="preserve"> Management Protocol was developed in 1999 </w:t>
      </w:r>
      <w:proofErr w:type="gramStart"/>
      <w:r w:rsidRPr="00616F95">
        <w:rPr>
          <w:rFonts w:ascii="Times New Roman" w:hAnsi="Times New Roman" w:cs="Times New Roman"/>
        </w:rPr>
        <w:t>in order to</w:t>
      </w:r>
      <w:proofErr w:type="gramEnd"/>
      <w:r w:rsidRPr="00616F95">
        <w:rPr>
          <w:rFonts w:ascii="Times New Roman" w:hAnsi="Times New Roman" w:cs="Times New Roman"/>
        </w:rPr>
        <w:t xml:space="preserve"> base regulations in the </w:t>
      </w:r>
      <w:proofErr w:type="spellStart"/>
      <w:r w:rsidRPr="00616F95">
        <w:rPr>
          <w:rFonts w:ascii="Times New Roman" w:hAnsi="Times New Roman" w:cs="Times New Roman"/>
        </w:rPr>
        <w:t>linefishery</w:t>
      </w:r>
      <w:proofErr w:type="spellEnd"/>
      <w:r w:rsidRPr="00616F95">
        <w:rPr>
          <w:rFonts w:ascii="Times New Roman" w:hAnsi="Times New Roman" w:cs="Times New Roman"/>
        </w:rPr>
        <w:t xml:space="preserve"> on quantifiable reference points. This remains the basis of </w:t>
      </w:r>
      <w:proofErr w:type="spellStart"/>
      <w:r w:rsidRPr="00616F95">
        <w:rPr>
          <w:rFonts w:ascii="Times New Roman" w:hAnsi="Times New Roman" w:cs="Times New Roman"/>
        </w:rPr>
        <w:t>linefish</w:t>
      </w:r>
      <w:proofErr w:type="spellEnd"/>
      <w:r w:rsidRPr="00616F95">
        <w:rPr>
          <w:rFonts w:ascii="Times New Roman" w:hAnsi="Times New Roman" w:cs="Times New Roman"/>
        </w:rPr>
        <w:t xml:space="preserve"> management. </w:t>
      </w:r>
    </w:p>
    <w:p w:rsidR="00A67F16" w:rsidRDefault="00FA360C" w:rsidP="00616F95">
      <w:pPr>
        <w:jc w:val="both"/>
        <w:rPr>
          <w:rFonts w:ascii="Times New Roman" w:hAnsi="Times New Roman" w:cs="Times New Roman"/>
        </w:rPr>
      </w:pPr>
      <w:proofErr w:type="gramStart"/>
      <w:r w:rsidRPr="00616F95">
        <w:rPr>
          <w:rFonts w:ascii="Times New Roman" w:hAnsi="Times New Roman" w:cs="Times New Roman"/>
        </w:rPr>
        <w:t>A number of</w:t>
      </w:r>
      <w:proofErr w:type="gramEnd"/>
      <w:r w:rsidRPr="00616F95">
        <w:rPr>
          <w:rFonts w:ascii="Times New Roman" w:hAnsi="Times New Roman" w:cs="Times New Roman"/>
        </w:rPr>
        <w:t xml:space="preserve"> regulations were put in place to manage fishing pressure on </w:t>
      </w:r>
      <w:proofErr w:type="spellStart"/>
      <w:r w:rsidRPr="00616F95">
        <w:rPr>
          <w:rFonts w:ascii="Times New Roman" w:hAnsi="Times New Roman" w:cs="Times New Roman"/>
        </w:rPr>
        <w:t>linefish</w:t>
      </w:r>
      <w:proofErr w:type="spellEnd"/>
      <w:r w:rsidRPr="00616F95">
        <w:rPr>
          <w:rFonts w:ascii="Times New Roman" w:hAnsi="Times New Roman" w:cs="Times New Roman"/>
        </w:rPr>
        <w:t xml:space="preserve"> resources. Due to the large number of users, launch sites and species targeted, and to flexibility of the operational range, the commercial </w:t>
      </w:r>
      <w:proofErr w:type="spellStart"/>
      <w:r w:rsidRPr="00616F95">
        <w:rPr>
          <w:rFonts w:ascii="Times New Roman" w:hAnsi="Times New Roman" w:cs="Times New Roman"/>
        </w:rPr>
        <w:t>linefishery</w:t>
      </w:r>
      <w:proofErr w:type="spellEnd"/>
      <w:r w:rsidRPr="00616F95">
        <w:rPr>
          <w:rFonts w:ascii="Times New Roman" w:hAnsi="Times New Roman" w:cs="Times New Roman"/>
        </w:rPr>
        <w:t xml:space="preserve"> is currently managed through a Total Allowable Effort (TAE) allocation, based on boat and crew numbers. The recreational fishery is managed by </w:t>
      </w:r>
      <w:proofErr w:type="gramStart"/>
      <w:r w:rsidRPr="00616F95">
        <w:rPr>
          <w:rFonts w:ascii="Times New Roman" w:hAnsi="Times New Roman" w:cs="Times New Roman"/>
        </w:rPr>
        <w:t>a number of</w:t>
      </w:r>
      <w:proofErr w:type="gramEnd"/>
      <w:r w:rsidRPr="00616F95">
        <w:rPr>
          <w:rFonts w:ascii="Times New Roman" w:hAnsi="Times New Roman" w:cs="Times New Roman"/>
        </w:rPr>
        <w:t xml:space="preserve"> output restrictions, such as size and bag limits, closed areas and seasons. The small-scale fishery will also be managed through a combination of size and bag limits, closed areas and seasons. However, this sector differs in that community-based management is the core principle on which the small-scale sector is </w:t>
      </w:r>
      <w:proofErr w:type="gramStart"/>
      <w:r w:rsidRPr="00616F95">
        <w:rPr>
          <w:rFonts w:ascii="Times New Roman" w:hAnsi="Times New Roman" w:cs="Times New Roman"/>
        </w:rPr>
        <w:t>based</w:t>
      </w:r>
      <w:proofErr w:type="gramEnd"/>
      <w:r w:rsidRPr="00616F95">
        <w:rPr>
          <w:rFonts w:ascii="Times New Roman" w:hAnsi="Times New Roman" w:cs="Times New Roman"/>
        </w:rPr>
        <w:t xml:space="preserve"> and local communities are encouraged and empowered to promote sustainability. </w:t>
      </w:r>
    </w:p>
    <w:p w:rsidR="00DE6199" w:rsidRPr="00616F95" w:rsidRDefault="00DE6199" w:rsidP="00616F95">
      <w:pPr>
        <w:jc w:val="both"/>
        <w:rPr>
          <w:rFonts w:ascii="Times New Roman" w:hAnsi="Times New Roman" w:cs="Times New Roman"/>
        </w:rPr>
      </w:pPr>
    </w:p>
    <w:p w:rsidR="00FA360C" w:rsidRDefault="00FA360C" w:rsidP="00DE6199">
      <w:pPr>
        <w:pStyle w:val="BasicParagraph"/>
        <w:jc w:val="both"/>
        <w:rPr>
          <w:rFonts w:ascii="Times New Roman" w:hAnsi="Times New Roman" w:cs="Times New Roman"/>
          <w:sz w:val="22"/>
          <w:szCs w:val="22"/>
        </w:rPr>
      </w:pPr>
      <w:r w:rsidRPr="00616F95">
        <w:rPr>
          <w:rFonts w:ascii="Times New Roman" w:hAnsi="Times New Roman" w:cs="Times New Roman"/>
          <w:b/>
          <w:bCs/>
          <w:sz w:val="22"/>
          <w:szCs w:val="22"/>
        </w:rPr>
        <w:t>Research and Monitoring</w:t>
      </w:r>
      <w:r w:rsidRPr="00616F95">
        <w:rPr>
          <w:rFonts w:ascii="Times New Roman" w:hAnsi="Times New Roman" w:cs="Times New Roman"/>
          <w:sz w:val="22"/>
          <w:szCs w:val="22"/>
        </w:rPr>
        <w:t xml:space="preserve"> </w:t>
      </w:r>
    </w:p>
    <w:p w:rsidR="00DE6199" w:rsidRPr="00616F95" w:rsidRDefault="00DE6199" w:rsidP="00DE6199">
      <w:pPr>
        <w:pStyle w:val="BasicParagraph"/>
        <w:jc w:val="both"/>
        <w:rPr>
          <w:rFonts w:ascii="Times New Roman" w:hAnsi="Times New Roman" w:cs="Times New Roman"/>
          <w:sz w:val="22"/>
          <w:szCs w:val="22"/>
        </w:rPr>
      </w:pPr>
    </w:p>
    <w:p w:rsidR="00FA360C" w:rsidRPr="00616F95" w:rsidRDefault="00FA360C" w:rsidP="00616F95">
      <w:pPr>
        <w:pStyle w:val="BasicParagraph"/>
        <w:jc w:val="both"/>
        <w:rPr>
          <w:rFonts w:ascii="Times New Roman" w:hAnsi="Times New Roman" w:cs="Times New Roman"/>
          <w:sz w:val="22"/>
          <w:szCs w:val="22"/>
        </w:rPr>
      </w:pPr>
      <w:r w:rsidRPr="00616F95">
        <w:rPr>
          <w:rFonts w:ascii="Times New Roman" w:hAnsi="Times New Roman" w:cs="Times New Roman"/>
          <w:sz w:val="22"/>
          <w:szCs w:val="22"/>
        </w:rPr>
        <w:t xml:space="preserve">Monitoring of the boat-based </w:t>
      </w:r>
      <w:proofErr w:type="spellStart"/>
      <w:r w:rsidRPr="00616F95">
        <w:rPr>
          <w:rFonts w:ascii="Times New Roman" w:hAnsi="Times New Roman" w:cs="Times New Roman"/>
          <w:sz w:val="22"/>
          <w:szCs w:val="22"/>
        </w:rPr>
        <w:t>linefishery</w:t>
      </w:r>
      <w:proofErr w:type="spellEnd"/>
      <w:r w:rsidRPr="00616F95">
        <w:rPr>
          <w:rFonts w:ascii="Times New Roman" w:hAnsi="Times New Roman" w:cs="Times New Roman"/>
          <w:sz w:val="22"/>
          <w:szCs w:val="22"/>
        </w:rPr>
        <w:t xml:space="preserve"> in the Cape was introduced by Dr JDF Gilchrist in 1897, in the form of a shore-based observer programme that aimed to record statistics on catch and effort at all the fishing centres. Comprehensive per-species catch-and-effort data from the boat-based commercial fishery have been collected since 1985 and stored in the National Marine </w:t>
      </w:r>
      <w:proofErr w:type="spellStart"/>
      <w:r w:rsidRPr="00616F95">
        <w:rPr>
          <w:rFonts w:ascii="Times New Roman" w:hAnsi="Times New Roman" w:cs="Times New Roman"/>
          <w:sz w:val="22"/>
          <w:szCs w:val="22"/>
        </w:rPr>
        <w:t>Linefish</w:t>
      </w:r>
      <w:proofErr w:type="spellEnd"/>
      <w:r w:rsidRPr="00616F95">
        <w:rPr>
          <w:rFonts w:ascii="Times New Roman" w:hAnsi="Times New Roman" w:cs="Times New Roman"/>
          <w:sz w:val="22"/>
          <w:szCs w:val="22"/>
        </w:rPr>
        <w:t xml:space="preserve"> System (NMLS). A national observer programme was implemented from 2008 until 2010, in which scientific observers recorded catch-and-effort data and collected size frequencies per species from the boat-based fishery at access points around the country. </w:t>
      </w:r>
    </w:p>
    <w:p w:rsidR="00616F95" w:rsidRDefault="00616F95" w:rsidP="00616F95">
      <w:pPr>
        <w:pStyle w:val="BasicParagraph"/>
        <w:ind w:firstLine="227"/>
        <w:jc w:val="both"/>
        <w:rPr>
          <w:rFonts w:ascii="Times New Roman" w:hAnsi="Times New Roman" w:cs="Times New Roman"/>
          <w:sz w:val="22"/>
          <w:szCs w:val="22"/>
        </w:rPr>
      </w:pPr>
    </w:p>
    <w:p w:rsidR="00FA360C" w:rsidRPr="00616F95" w:rsidRDefault="00FA360C" w:rsidP="002075EF">
      <w:pPr>
        <w:pStyle w:val="BasicParagraph"/>
        <w:jc w:val="both"/>
        <w:rPr>
          <w:rFonts w:ascii="Times New Roman" w:hAnsi="Times New Roman" w:cs="Times New Roman"/>
          <w:sz w:val="22"/>
          <w:szCs w:val="22"/>
        </w:rPr>
      </w:pPr>
      <w:r w:rsidRPr="00616F95">
        <w:rPr>
          <w:rFonts w:ascii="Times New Roman" w:hAnsi="Times New Roman" w:cs="Times New Roman"/>
          <w:sz w:val="22"/>
          <w:szCs w:val="22"/>
        </w:rPr>
        <w:t xml:space="preserve">The biology of the fish caught in the </w:t>
      </w:r>
      <w:proofErr w:type="spellStart"/>
      <w:r w:rsidRPr="00616F95">
        <w:rPr>
          <w:rFonts w:ascii="Times New Roman" w:hAnsi="Times New Roman" w:cs="Times New Roman"/>
          <w:sz w:val="22"/>
          <w:szCs w:val="22"/>
        </w:rPr>
        <w:t>linefishery</w:t>
      </w:r>
      <w:proofErr w:type="spellEnd"/>
      <w:r w:rsidRPr="00616F95">
        <w:rPr>
          <w:rFonts w:ascii="Times New Roman" w:hAnsi="Times New Roman" w:cs="Times New Roman"/>
          <w:sz w:val="22"/>
          <w:szCs w:val="22"/>
        </w:rPr>
        <w:t xml:space="preserve"> has been remarkably well studied considering the large variety of target species in comparison with other fisheries, as evident from the published </w:t>
      </w:r>
      <w:proofErr w:type="spellStart"/>
      <w:r w:rsidRPr="00616F95">
        <w:rPr>
          <w:rFonts w:ascii="Times New Roman" w:hAnsi="Times New Roman" w:cs="Times New Roman"/>
          <w:sz w:val="22"/>
          <w:szCs w:val="22"/>
        </w:rPr>
        <w:t>linefish</w:t>
      </w:r>
      <w:proofErr w:type="spellEnd"/>
      <w:r w:rsidRPr="00616F95">
        <w:rPr>
          <w:rFonts w:ascii="Times New Roman" w:hAnsi="Times New Roman" w:cs="Times New Roman"/>
          <w:sz w:val="22"/>
          <w:szCs w:val="22"/>
        </w:rPr>
        <w:t xml:space="preserve"> species profiles that contains information on life-history, ecology and population status of 139 </w:t>
      </w:r>
      <w:proofErr w:type="spellStart"/>
      <w:r w:rsidRPr="00616F95">
        <w:rPr>
          <w:rFonts w:ascii="Times New Roman" w:hAnsi="Times New Roman" w:cs="Times New Roman"/>
          <w:sz w:val="22"/>
          <w:szCs w:val="22"/>
        </w:rPr>
        <w:t>linefish</w:t>
      </w:r>
      <w:proofErr w:type="spellEnd"/>
      <w:r w:rsidRPr="00616F95">
        <w:rPr>
          <w:rFonts w:ascii="Times New Roman" w:hAnsi="Times New Roman" w:cs="Times New Roman"/>
          <w:sz w:val="22"/>
          <w:szCs w:val="22"/>
        </w:rPr>
        <w:t xml:space="preserve"> species. </w:t>
      </w:r>
    </w:p>
    <w:p w:rsidR="00616F95" w:rsidRDefault="00616F95" w:rsidP="00616F95">
      <w:pPr>
        <w:pStyle w:val="BasicParagraph"/>
        <w:ind w:firstLine="227"/>
        <w:jc w:val="both"/>
        <w:rPr>
          <w:rFonts w:ascii="Times New Roman" w:hAnsi="Times New Roman" w:cs="Times New Roman"/>
          <w:sz w:val="22"/>
          <w:szCs w:val="22"/>
        </w:rPr>
      </w:pPr>
    </w:p>
    <w:p w:rsidR="00FA360C" w:rsidRPr="00616F95" w:rsidRDefault="00FA360C" w:rsidP="002075EF">
      <w:pPr>
        <w:pStyle w:val="BasicParagraph"/>
        <w:jc w:val="both"/>
        <w:rPr>
          <w:rFonts w:ascii="Times New Roman" w:hAnsi="Times New Roman" w:cs="Times New Roman"/>
          <w:sz w:val="22"/>
          <w:szCs w:val="22"/>
        </w:rPr>
      </w:pPr>
      <w:r w:rsidRPr="00616F95">
        <w:rPr>
          <w:rFonts w:ascii="Times New Roman" w:hAnsi="Times New Roman" w:cs="Times New Roman"/>
          <w:sz w:val="22"/>
          <w:szCs w:val="22"/>
        </w:rPr>
        <w:t xml:space="preserve">Assessing the status of </w:t>
      </w:r>
      <w:proofErr w:type="spellStart"/>
      <w:r w:rsidRPr="00616F95">
        <w:rPr>
          <w:rFonts w:ascii="Times New Roman" w:hAnsi="Times New Roman" w:cs="Times New Roman"/>
          <w:sz w:val="22"/>
          <w:szCs w:val="22"/>
        </w:rPr>
        <w:t>linefish</w:t>
      </w:r>
      <w:proofErr w:type="spellEnd"/>
      <w:r w:rsidRPr="00616F95">
        <w:rPr>
          <w:rFonts w:ascii="Times New Roman" w:hAnsi="Times New Roman" w:cs="Times New Roman"/>
          <w:sz w:val="22"/>
          <w:szCs w:val="22"/>
        </w:rPr>
        <w:t xml:space="preserve"> stocks has been a priority in recent years. Drawing on the enormous body of data contained in the NMLS, the largest spatially-referenced marine dataset in the world, a novel method to standardize Catch Per Unit Effort (CPUE) data that accounts for targeting in the multi-species </w:t>
      </w:r>
      <w:proofErr w:type="spellStart"/>
      <w:r w:rsidRPr="00616F95">
        <w:rPr>
          <w:rFonts w:ascii="Times New Roman" w:hAnsi="Times New Roman" w:cs="Times New Roman"/>
          <w:sz w:val="22"/>
          <w:szCs w:val="22"/>
        </w:rPr>
        <w:t>linefish</w:t>
      </w:r>
      <w:proofErr w:type="spellEnd"/>
      <w:r w:rsidRPr="00616F95">
        <w:rPr>
          <w:rFonts w:ascii="Times New Roman" w:hAnsi="Times New Roman" w:cs="Times New Roman"/>
          <w:sz w:val="22"/>
          <w:szCs w:val="22"/>
        </w:rPr>
        <w:t xml:space="preserve"> sector has been developed. Following on, a comprehensive Bayesian State-Space Surplus Production Model framework (JABBA: Just Another Bayesian Biomass Assessment) was developed and applied to the eight most important species, namely slinger (</w:t>
      </w:r>
      <w:proofErr w:type="spellStart"/>
      <w:r w:rsidRPr="00616F95">
        <w:rPr>
          <w:rFonts w:ascii="Times New Roman" w:hAnsi="Times New Roman" w:cs="Times New Roman"/>
          <w:i/>
          <w:sz w:val="22"/>
          <w:szCs w:val="22"/>
        </w:rPr>
        <w:t>Chrysoblephus</w:t>
      </w:r>
      <w:proofErr w:type="spellEnd"/>
      <w:r w:rsidRPr="00616F95">
        <w:rPr>
          <w:rFonts w:ascii="Times New Roman" w:hAnsi="Times New Roman" w:cs="Times New Roman"/>
          <w:i/>
          <w:sz w:val="22"/>
          <w:szCs w:val="22"/>
        </w:rPr>
        <w:t xml:space="preserve"> </w:t>
      </w:r>
      <w:proofErr w:type="spellStart"/>
      <w:r w:rsidRPr="00616F95">
        <w:rPr>
          <w:rFonts w:ascii="Times New Roman" w:hAnsi="Times New Roman" w:cs="Times New Roman"/>
          <w:i/>
          <w:sz w:val="22"/>
          <w:szCs w:val="22"/>
        </w:rPr>
        <w:t>puniceus</w:t>
      </w:r>
      <w:proofErr w:type="spellEnd"/>
      <w:r w:rsidRPr="00616F95">
        <w:rPr>
          <w:rFonts w:ascii="Times New Roman" w:hAnsi="Times New Roman" w:cs="Times New Roman"/>
          <w:sz w:val="22"/>
          <w:szCs w:val="22"/>
        </w:rPr>
        <w:t>), carpenter (</w:t>
      </w:r>
      <w:proofErr w:type="spellStart"/>
      <w:r w:rsidRPr="00616F95">
        <w:rPr>
          <w:rFonts w:ascii="Times New Roman" w:hAnsi="Times New Roman" w:cs="Times New Roman"/>
          <w:i/>
          <w:sz w:val="22"/>
          <w:szCs w:val="22"/>
        </w:rPr>
        <w:t>Argyrozona</w:t>
      </w:r>
      <w:proofErr w:type="spellEnd"/>
      <w:r w:rsidRPr="00616F95">
        <w:rPr>
          <w:rFonts w:ascii="Times New Roman" w:hAnsi="Times New Roman" w:cs="Times New Roman"/>
          <w:i/>
          <w:sz w:val="22"/>
          <w:szCs w:val="22"/>
        </w:rPr>
        <w:t xml:space="preserve"> </w:t>
      </w:r>
      <w:proofErr w:type="spellStart"/>
      <w:r w:rsidRPr="00616F95">
        <w:rPr>
          <w:rFonts w:ascii="Times New Roman" w:hAnsi="Times New Roman" w:cs="Times New Roman"/>
          <w:i/>
          <w:sz w:val="22"/>
          <w:szCs w:val="22"/>
        </w:rPr>
        <w:t>argyrozona</w:t>
      </w:r>
      <w:proofErr w:type="spellEnd"/>
      <w:r w:rsidRPr="00616F95">
        <w:rPr>
          <w:rFonts w:ascii="Times New Roman" w:hAnsi="Times New Roman" w:cs="Times New Roman"/>
          <w:sz w:val="22"/>
          <w:szCs w:val="22"/>
        </w:rPr>
        <w:t xml:space="preserve">), </w:t>
      </w:r>
      <w:proofErr w:type="spellStart"/>
      <w:r w:rsidRPr="00616F95">
        <w:rPr>
          <w:rFonts w:ascii="Times New Roman" w:hAnsi="Times New Roman" w:cs="Times New Roman"/>
          <w:sz w:val="22"/>
          <w:szCs w:val="22"/>
        </w:rPr>
        <w:t>hottentot</w:t>
      </w:r>
      <w:proofErr w:type="spellEnd"/>
      <w:r w:rsidRPr="00616F95">
        <w:rPr>
          <w:rFonts w:ascii="Times New Roman" w:hAnsi="Times New Roman" w:cs="Times New Roman"/>
          <w:sz w:val="22"/>
          <w:szCs w:val="22"/>
        </w:rPr>
        <w:t xml:space="preserve"> seabream (</w:t>
      </w:r>
      <w:proofErr w:type="spellStart"/>
      <w:r w:rsidRPr="00616F95">
        <w:rPr>
          <w:rFonts w:ascii="Times New Roman" w:hAnsi="Times New Roman" w:cs="Times New Roman"/>
          <w:i/>
          <w:sz w:val="22"/>
          <w:szCs w:val="22"/>
        </w:rPr>
        <w:t>Pachymetopon</w:t>
      </w:r>
      <w:proofErr w:type="spellEnd"/>
      <w:r w:rsidRPr="00616F95">
        <w:rPr>
          <w:rFonts w:ascii="Times New Roman" w:hAnsi="Times New Roman" w:cs="Times New Roman"/>
          <w:i/>
          <w:sz w:val="22"/>
          <w:szCs w:val="22"/>
        </w:rPr>
        <w:t xml:space="preserve"> </w:t>
      </w:r>
      <w:proofErr w:type="spellStart"/>
      <w:r w:rsidRPr="00616F95">
        <w:rPr>
          <w:rFonts w:ascii="Times New Roman" w:hAnsi="Times New Roman" w:cs="Times New Roman"/>
          <w:i/>
          <w:sz w:val="22"/>
          <w:szCs w:val="22"/>
        </w:rPr>
        <w:t>blochi</w:t>
      </w:r>
      <w:proofErr w:type="spellEnd"/>
      <w:r w:rsidRPr="00616F95">
        <w:rPr>
          <w:rFonts w:ascii="Times New Roman" w:hAnsi="Times New Roman" w:cs="Times New Roman"/>
          <w:sz w:val="22"/>
          <w:szCs w:val="22"/>
        </w:rPr>
        <w:t>), snoek (</w:t>
      </w:r>
      <w:proofErr w:type="spellStart"/>
      <w:r w:rsidRPr="00616F95">
        <w:rPr>
          <w:rFonts w:ascii="Times New Roman" w:hAnsi="Times New Roman" w:cs="Times New Roman"/>
          <w:i/>
          <w:sz w:val="22"/>
          <w:szCs w:val="22"/>
        </w:rPr>
        <w:t>Thyrsites</w:t>
      </w:r>
      <w:proofErr w:type="spellEnd"/>
      <w:r w:rsidRPr="00616F95">
        <w:rPr>
          <w:rFonts w:ascii="Times New Roman" w:hAnsi="Times New Roman" w:cs="Times New Roman"/>
          <w:i/>
          <w:sz w:val="22"/>
          <w:szCs w:val="22"/>
        </w:rPr>
        <w:t xml:space="preserve"> </w:t>
      </w:r>
      <w:proofErr w:type="spellStart"/>
      <w:r w:rsidRPr="00616F95">
        <w:rPr>
          <w:rFonts w:ascii="Times New Roman" w:hAnsi="Times New Roman" w:cs="Times New Roman"/>
          <w:i/>
          <w:sz w:val="22"/>
          <w:szCs w:val="22"/>
        </w:rPr>
        <w:t>atun</w:t>
      </w:r>
      <w:proofErr w:type="spellEnd"/>
      <w:r w:rsidRPr="00616F95">
        <w:rPr>
          <w:rFonts w:ascii="Times New Roman" w:hAnsi="Times New Roman" w:cs="Times New Roman"/>
          <w:sz w:val="22"/>
          <w:szCs w:val="22"/>
        </w:rPr>
        <w:t>), yellowtail (</w:t>
      </w:r>
      <w:proofErr w:type="spellStart"/>
      <w:r w:rsidRPr="00616F95">
        <w:rPr>
          <w:rFonts w:ascii="Times New Roman" w:hAnsi="Times New Roman" w:cs="Times New Roman"/>
          <w:i/>
          <w:sz w:val="22"/>
          <w:szCs w:val="22"/>
        </w:rPr>
        <w:t>Seriola</w:t>
      </w:r>
      <w:proofErr w:type="spellEnd"/>
      <w:r w:rsidRPr="00616F95">
        <w:rPr>
          <w:rFonts w:ascii="Times New Roman" w:hAnsi="Times New Roman" w:cs="Times New Roman"/>
          <w:i/>
          <w:sz w:val="22"/>
          <w:szCs w:val="22"/>
        </w:rPr>
        <w:t xml:space="preserve"> </w:t>
      </w:r>
      <w:proofErr w:type="spellStart"/>
      <w:r w:rsidRPr="00616F95">
        <w:rPr>
          <w:rFonts w:ascii="Times New Roman" w:hAnsi="Times New Roman" w:cs="Times New Roman"/>
          <w:i/>
          <w:sz w:val="22"/>
          <w:szCs w:val="22"/>
        </w:rPr>
        <w:t>lalandi</w:t>
      </w:r>
      <w:proofErr w:type="spellEnd"/>
      <w:r w:rsidRPr="00616F95">
        <w:rPr>
          <w:rFonts w:ascii="Times New Roman" w:hAnsi="Times New Roman" w:cs="Times New Roman"/>
          <w:sz w:val="22"/>
          <w:szCs w:val="22"/>
        </w:rPr>
        <w:t xml:space="preserve">), </w:t>
      </w:r>
      <w:proofErr w:type="spellStart"/>
      <w:r w:rsidRPr="00616F95">
        <w:rPr>
          <w:rFonts w:ascii="Times New Roman" w:hAnsi="Times New Roman" w:cs="Times New Roman"/>
          <w:sz w:val="22"/>
          <w:szCs w:val="22"/>
        </w:rPr>
        <w:t>santer</w:t>
      </w:r>
      <w:proofErr w:type="spellEnd"/>
      <w:r w:rsidRPr="00616F95">
        <w:rPr>
          <w:rFonts w:ascii="Times New Roman" w:hAnsi="Times New Roman" w:cs="Times New Roman"/>
          <w:sz w:val="22"/>
          <w:szCs w:val="22"/>
        </w:rPr>
        <w:t xml:space="preserve"> (</w:t>
      </w:r>
      <w:proofErr w:type="spellStart"/>
      <w:r w:rsidRPr="00616F95">
        <w:rPr>
          <w:rFonts w:ascii="Times New Roman" w:hAnsi="Times New Roman" w:cs="Times New Roman"/>
          <w:i/>
          <w:sz w:val="22"/>
          <w:szCs w:val="22"/>
        </w:rPr>
        <w:t>Cheimerius</w:t>
      </w:r>
      <w:proofErr w:type="spellEnd"/>
      <w:r w:rsidRPr="00616F95">
        <w:rPr>
          <w:rFonts w:ascii="Times New Roman" w:hAnsi="Times New Roman" w:cs="Times New Roman"/>
          <w:i/>
          <w:sz w:val="22"/>
          <w:szCs w:val="22"/>
        </w:rPr>
        <w:t xml:space="preserve"> </w:t>
      </w:r>
      <w:proofErr w:type="spellStart"/>
      <w:r w:rsidRPr="00616F95">
        <w:rPr>
          <w:rFonts w:ascii="Times New Roman" w:hAnsi="Times New Roman" w:cs="Times New Roman"/>
          <w:i/>
          <w:sz w:val="22"/>
          <w:szCs w:val="22"/>
        </w:rPr>
        <w:t>nufar</w:t>
      </w:r>
      <w:proofErr w:type="spellEnd"/>
      <w:r w:rsidRPr="00616F95">
        <w:rPr>
          <w:rFonts w:ascii="Times New Roman" w:hAnsi="Times New Roman" w:cs="Times New Roman"/>
          <w:sz w:val="22"/>
          <w:szCs w:val="22"/>
        </w:rPr>
        <w:t xml:space="preserve">) and silver </w:t>
      </w:r>
      <w:proofErr w:type="spellStart"/>
      <w:r w:rsidRPr="00616F95">
        <w:rPr>
          <w:rFonts w:ascii="Times New Roman" w:hAnsi="Times New Roman" w:cs="Times New Roman"/>
          <w:sz w:val="22"/>
          <w:szCs w:val="22"/>
        </w:rPr>
        <w:t>kob</w:t>
      </w:r>
      <w:proofErr w:type="spellEnd"/>
      <w:r w:rsidRPr="00616F95">
        <w:rPr>
          <w:rFonts w:ascii="Times New Roman" w:hAnsi="Times New Roman" w:cs="Times New Roman"/>
          <w:sz w:val="22"/>
          <w:szCs w:val="22"/>
        </w:rPr>
        <w:t xml:space="preserve"> (</w:t>
      </w:r>
      <w:proofErr w:type="spellStart"/>
      <w:r w:rsidRPr="00616F95">
        <w:rPr>
          <w:rFonts w:ascii="Times New Roman" w:hAnsi="Times New Roman" w:cs="Times New Roman"/>
          <w:i/>
          <w:sz w:val="22"/>
          <w:szCs w:val="22"/>
        </w:rPr>
        <w:t>Argyrosomus</w:t>
      </w:r>
      <w:proofErr w:type="spellEnd"/>
      <w:r w:rsidRPr="00616F95">
        <w:rPr>
          <w:rFonts w:ascii="Times New Roman" w:hAnsi="Times New Roman" w:cs="Times New Roman"/>
          <w:i/>
          <w:sz w:val="22"/>
          <w:szCs w:val="22"/>
        </w:rPr>
        <w:t xml:space="preserve"> </w:t>
      </w:r>
      <w:proofErr w:type="spellStart"/>
      <w:r w:rsidRPr="00616F95">
        <w:rPr>
          <w:rFonts w:ascii="Times New Roman" w:hAnsi="Times New Roman" w:cs="Times New Roman"/>
          <w:i/>
          <w:sz w:val="22"/>
          <w:szCs w:val="22"/>
        </w:rPr>
        <w:t>inodorus</w:t>
      </w:r>
      <w:proofErr w:type="spellEnd"/>
      <w:r w:rsidRPr="00616F95">
        <w:rPr>
          <w:rFonts w:ascii="Times New Roman" w:hAnsi="Times New Roman" w:cs="Times New Roman"/>
          <w:sz w:val="22"/>
          <w:szCs w:val="22"/>
        </w:rPr>
        <w:t xml:space="preserve">). </w:t>
      </w:r>
    </w:p>
    <w:p w:rsidR="00FA360C" w:rsidRPr="00616F95" w:rsidRDefault="00FA360C" w:rsidP="00616F95">
      <w:pPr>
        <w:pStyle w:val="BasicParagraph"/>
        <w:ind w:firstLine="227"/>
        <w:jc w:val="both"/>
        <w:rPr>
          <w:rFonts w:ascii="Times New Roman" w:hAnsi="Times New Roman" w:cs="Times New Roman"/>
          <w:sz w:val="22"/>
          <w:szCs w:val="22"/>
        </w:rPr>
      </w:pPr>
    </w:p>
    <w:p w:rsidR="00FA360C" w:rsidRPr="00616F95" w:rsidRDefault="00FA360C" w:rsidP="002075EF">
      <w:pPr>
        <w:pStyle w:val="BasicParagraph"/>
        <w:jc w:val="both"/>
        <w:rPr>
          <w:rFonts w:ascii="Times New Roman" w:hAnsi="Times New Roman" w:cs="Times New Roman"/>
          <w:sz w:val="22"/>
          <w:szCs w:val="22"/>
        </w:rPr>
      </w:pPr>
      <w:r w:rsidRPr="00616F95">
        <w:rPr>
          <w:rFonts w:ascii="Times New Roman" w:hAnsi="Times New Roman" w:cs="Times New Roman"/>
          <w:sz w:val="22"/>
          <w:szCs w:val="22"/>
        </w:rPr>
        <w:t xml:space="preserve">In situations </w:t>
      </w:r>
      <w:proofErr w:type="gramStart"/>
      <w:r w:rsidRPr="00616F95">
        <w:rPr>
          <w:rFonts w:ascii="Times New Roman" w:hAnsi="Times New Roman" w:cs="Times New Roman"/>
          <w:sz w:val="22"/>
          <w:szCs w:val="22"/>
        </w:rPr>
        <w:t>whereby</w:t>
      </w:r>
      <w:proofErr w:type="gramEnd"/>
      <w:r w:rsidRPr="00616F95">
        <w:rPr>
          <w:rFonts w:ascii="Times New Roman" w:hAnsi="Times New Roman" w:cs="Times New Roman"/>
          <w:sz w:val="22"/>
          <w:szCs w:val="22"/>
        </w:rPr>
        <w:t xml:space="preserve"> traditional stock assessment methods are not applicable, alternative methods </w:t>
      </w:r>
      <w:r w:rsidR="00A67F16" w:rsidRPr="00616F95">
        <w:rPr>
          <w:rFonts w:ascii="Times New Roman" w:hAnsi="Times New Roman" w:cs="Times New Roman"/>
          <w:sz w:val="22"/>
          <w:szCs w:val="22"/>
        </w:rPr>
        <w:t>have been applied</w:t>
      </w:r>
      <w:r w:rsidRPr="00616F95">
        <w:rPr>
          <w:rFonts w:ascii="Times New Roman" w:hAnsi="Times New Roman" w:cs="Times New Roman"/>
          <w:sz w:val="22"/>
          <w:szCs w:val="22"/>
        </w:rPr>
        <w:t xml:space="preserve">. For rare </w:t>
      </w:r>
      <w:proofErr w:type="spellStart"/>
      <w:r w:rsidRPr="00616F95">
        <w:rPr>
          <w:rFonts w:ascii="Times New Roman" w:hAnsi="Times New Roman" w:cs="Times New Roman"/>
          <w:sz w:val="22"/>
          <w:szCs w:val="22"/>
        </w:rPr>
        <w:t>linefish</w:t>
      </w:r>
      <w:proofErr w:type="spellEnd"/>
      <w:r w:rsidRPr="00616F95">
        <w:rPr>
          <w:rFonts w:ascii="Times New Roman" w:hAnsi="Times New Roman" w:cs="Times New Roman"/>
          <w:sz w:val="22"/>
          <w:szCs w:val="22"/>
        </w:rPr>
        <w:t xml:space="preserve"> species, such as red </w:t>
      </w:r>
      <w:proofErr w:type="spellStart"/>
      <w:r w:rsidRPr="00616F95">
        <w:rPr>
          <w:rFonts w:ascii="Times New Roman" w:hAnsi="Times New Roman" w:cs="Times New Roman"/>
          <w:sz w:val="22"/>
          <w:szCs w:val="22"/>
        </w:rPr>
        <w:t>steenbras</w:t>
      </w:r>
      <w:proofErr w:type="spellEnd"/>
      <w:r w:rsidRPr="00616F95">
        <w:rPr>
          <w:rFonts w:ascii="Times New Roman" w:hAnsi="Times New Roman" w:cs="Times New Roman"/>
          <w:sz w:val="22"/>
          <w:szCs w:val="22"/>
        </w:rPr>
        <w:t xml:space="preserve"> and </w:t>
      </w:r>
      <w:proofErr w:type="spellStart"/>
      <w:r w:rsidRPr="00616F95">
        <w:rPr>
          <w:rFonts w:ascii="Times New Roman" w:hAnsi="Times New Roman" w:cs="Times New Roman"/>
          <w:sz w:val="22"/>
          <w:szCs w:val="22"/>
        </w:rPr>
        <w:t>dageraad</w:t>
      </w:r>
      <w:proofErr w:type="spellEnd"/>
      <w:r w:rsidRPr="00616F95">
        <w:rPr>
          <w:rFonts w:ascii="Times New Roman" w:hAnsi="Times New Roman" w:cs="Times New Roman"/>
          <w:sz w:val="22"/>
          <w:szCs w:val="22"/>
        </w:rPr>
        <w:t xml:space="preserve"> that are caught infrequently and are subject to stringent bag and size limits, a novel approach based on encounter probabilities in the catch has been applied. Application of this </w:t>
      </w:r>
      <w:proofErr w:type="gramStart"/>
      <w:r w:rsidRPr="00616F95">
        <w:rPr>
          <w:rFonts w:ascii="Times New Roman" w:hAnsi="Times New Roman" w:cs="Times New Roman"/>
          <w:sz w:val="22"/>
          <w:szCs w:val="22"/>
        </w:rPr>
        <w:t>fairly robust</w:t>
      </w:r>
      <w:proofErr w:type="gramEnd"/>
      <w:r w:rsidRPr="00616F95">
        <w:rPr>
          <w:rFonts w:ascii="Times New Roman" w:hAnsi="Times New Roman" w:cs="Times New Roman"/>
          <w:sz w:val="22"/>
          <w:szCs w:val="22"/>
        </w:rPr>
        <w:t xml:space="preserve"> method confirms the continuous decline of these once abundant species to critically low levels. These two species are now of serious conservation </w:t>
      </w:r>
      <w:r w:rsidRPr="00616F95">
        <w:rPr>
          <w:rFonts w:ascii="Times New Roman" w:hAnsi="Times New Roman" w:cs="Times New Roman"/>
          <w:sz w:val="22"/>
          <w:szCs w:val="22"/>
        </w:rPr>
        <w:lastRenderedPageBreak/>
        <w:t xml:space="preserve">concern and have been included on the IUCN threatened species list as endangered. Furthermore, a unique </w:t>
      </w:r>
      <w:proofErr w:type="spellStart"/>
      <w:r w:rsidRPr="00616F95">
        <w:rPr>
          <w:rFonts w:ascii="Times New Roman" w:hAnsi="Times New Roman" w:cs="Times New Roman"/>
          <w:sz w:val="22"/>
          <w:szCs w:val="22"/>
        </w:rPr>
        <w:t>spatio</w:t>
      </w:r>
      <w:proofErr w:type="spellEnd"/>
      <w:r w:rsidRPr="00616F95">
        <w:rPr>
          <w:rFonts w:ascii="Times New Roman" w:hAnsi="Times New Roman" w:cs="Times New Roman"/>
          <w:sz w:val="22"/>
          <w:szCs w:val="22"/>
        </w:rPr>
        <w:t xml:space="preserve">-temporally disaggregated model has been successfully applied to </w:t>
      </w:r>
      <w:proofErr w:type="spellStart"/>
      <w:r w:rsidRPr="00616F95">
        <w:rPr>
          <w:rFonts w:ascii="Times New Roman" w:hAnsi="Times New Roman" w:cs="Times New Roman"/>
          <w:sz w:val="22"/>
          <w:szCs w:val="22"/>
        </w:rPr>
        <w:t>geelbek</w:t>
      </w:r>
      <w:proofErr w:type="spellEnd"/>
      <w:r w:rsidRPr="00616F95">
        <w:rPr>
          <w:rFonts w:ascii="Times New Roman" w:hAnsi="Times New Roman" w:cs="Times New Roman"/>
          <w:sz w:val="22"/>
          <w:szCs w:val="22"/>
        </w:rPr>
        <w:t xml:space="preserve"> (</w:t>
      </w:r>
      <w:proofErr w:type="spellStart"/>
      <w:r w:rsidRPr="00616F95">
        <w:rPr>
          <w:rFonts w:ascii="Times New Roman" w:hAnsi="Times New Roman" w:cs="Times New Roman"/>
          <w:i/>
          <w:sz w:val="22"/>
          <w:szCs w:val="22"/>
        </w:rPr>
        <w:t>Atractoscion</w:t>
      </w:r>
      <w:proofErr w:type="spellEnd"/>
      <w:r w:rsidRPr="00616F95">
        <w:rPr>
          <w:rFonts w:ascii="Times New Roman" w:hAnsi="Times New Roman" w:cs="Times New Roman"/>
          <w:i/>
          <w:sz w:val="22"/>
          <w:szCs w:val="22"/>
        </w:rPr>
        <w:t xml:space="preserve"> </w:t>
      </w:r>
      <w:proofErr w:type="spellStart"/>
      <w:r w:rsidRPr="00616F95">
        <w:rPr>
          <w:rFonts w:ascii="Times New Roman" w:hAnsi="Times New Roman" w:cs="Times New Roman"/>
          <w:i/>
          <w:sz w:val="22"/>
          <w:szCs w:val="22"/>
        </w:rPr>
        <w:t>aequidens</w:t>
      </w:r>
      <w:proofErr w:type="spellEnd"/>
      <w:r w:rsidRPr="00616F95">
        <w:rPr>
          <w:rFonts w:ascii="Times New Roman" w:hAnsi="Times New Roman" w:cs="Times New Roman"/>
          <w:sz w:val="22"/>
          <w:szCs w:val="22"/>
        </w:rPr>
        <w:t xml:space="preserve">) as this species undertakes a complex, size-dependent migration. Sector-specific assessments, such as that of white </w:t>
      </w:r>
      <w:proofErr w:type="spellStart"/>
      <w:r w:rsidRPr="00616F95">
        <w:rPr>
          <w:rFonts w:ascii="Times New Roman" w:hAnsi="Times New Roman" w:cs="Times New Roman"/>
          <w:sz w:val="22"/>
          <w:szCs w:val="22"/>
        </w:rPr>
        <w:t>stumpnose</w:t>
      </w:r>
      <w:proofErr w:type="spellEnd"/>
      <w:r w:rsidRPr="00616F95">
        <w:rPr>
          <w:rFonts w:ascii="Times New Roman" w:hAnsi="Times New Roman" w:cs="Times New Roman"/>
          <w:sz w:val="22"/>
          <w:szCs w:val="22"/>
        </w:rPr>
        <w:t xml:space="preserve"> (</w:t>
      </w:r>
      <w:proofErr w:type="spellStart"/>
      <w:r w:rsidRPr="00616F95">
        <w:rPr>
          <w:rFonts w:ascii="Times New Roman" w:hAnsi="Times New Roman" w:cs="Times New Roman"/>
          <w:i/>
          <w:sz w:val="22"/>
          <w:szCs w:val="22"/>
        </w:rPr>
        <w:t>Rhabdosargus</w:t>
      </w:r>
      <w:proofErr w:type="spellEnd"/>
      <w:r w:rsidRPr="00616F95">
        <w:rPr>
          <w:rFonts w:ascii="Times New Roman" w:hAnsi="Times New Roman" w:cs="Times New Roman"/>
          <w:i/>
          <w:sz w:val="22"/>
          <w:szCs w:val="22"/>
        </w:rPr>
        <w:t xml:space="preserve"> </w:t>
      </w:r>
      <w:proofErr w:type="spellStart"/>
      <w:r w:rsidRPr="00616F95">
        <w:rPr>
          <w:rFonts w:ascii="Times New Roman" w:hAnsi="Times New Roman" w:cs="Times New Roman"/>
          <w:i/>
          <w:sz w:val="22"/>
          <w:szCs w:val="22"/>
        </w:rPr>
        <w:t>globiceps</w:t>
      </w:r>
      <w:proofErr w:type="spellEnd"/>
      <w:r w:rsidRPr="00616F95">
        <w:rPr>
          <w:rFonts w:ascii="Times New Roman" w:hAnsi="Times New Roman" w:cs="Times New Roman"/>
          <w:sz w:val="22"/>
          <w:szCs w:val="22"/>
        </w:rPr>
        <w:t xml:space="preserve">) which quantifies the relative contribution of the commercial and recreational fishing sectors to the species’ decline in Saldanha bay, seek to address equality issues that arise in a multi-sector fishery. </w:t>
      </w:r>
    </w:p>
    <w:p w:rsidR="00FA360C" w:rsidRPr="00616F95" w:rsidRDefault="00FA360C" w:rsidP="00616F95">
      <w:pPr>
        <w:jc w:val="both"/>
        <w:rPr>
          <w:rFonts w:ascii="Times New Roman" w:hAnsi="Times New Roman" w:cs="Times New Roman"/>
        </w:rPr>
      </w:pPr>
    </w:p>
    <w:p w:rsidR="00FA360C" w:rsidRPr="00616F95" w:rsidRDefault="00FA360C" w:rsidP="00616F95">
      <w:pPr>
        <w:pStyle w:val="BasicParagraph"/>
        <w:jc w:val="both"/>
        <w:rPr>
          <w:rFonts w:ascii="Times New Roman" w:hAnsi="Times New Roman" w:cs="Times New Roman"/>
          <w:sz w:val="22"/>
          <w:szCs w:val="22"/>
        </w:rPr>
      </w:pPr>
      <w:proofErr w:type="gramStart"/>
      <w:r w:rsidRPr="00616F95">
        <w:rPr>
          <w:rFonts w:ascii="Times New Roman" w:hAnsi="Times New Roman" w:cs="Times New Roman"/>
          <w:b/>
          <w:bCs/>
          <w:sz w:val="22"/>
          <w:szCs w:val="22"/>
        </w:rPr>
        <w:t>Current Status</w:t>
      </w:r>
      <w:proofErr w:type="gramEnd"/>
      <w:r w:rsidRPr="00616F95">
        <w:rPr>
          <w:rFonts w:ascii="Times New Roman" w:hAnsi="Times New Roman" w:cs="Times New Roman"/>
          <w:b/>
          <w:bCs/>
          <w:sz w:val="22"/>
          <w:szCs w:val="22"/>
        </w:rPr>
        <w:t xml:space="preserve"> </w:t>
      </w:r>
    </w:p>
    <w:p w:rsidR="00FA360C" w:rsidRPr="00616F95" w:rsidRDefault="00FA360C" w:rsidP="002075EF">
      <w:pPr>
        <w:pStyle w:val="BasicParagraph"/>
        <w:jc w:val="both"/>
        <w:rPr>
          <w:rFonts w:ascii="Times New Roman" w:hAnsi="Times New Roman" w:cs="Times New Roman"/>
          <w:sz w:val="22"/>
          <w:szCs w:val="22"/>
        </w:rPr>
      </w:pPr>
      <w:r w:rsidRPr="00616F95">
        <w:rPr>
          <w:rFonts w:ascii="Times New Roman" w:hAnsi="Times New Roman" w:cs="Times New Roman"/>
          <w:sz w:val="22"/>
          <w:szCs w:val="22"/>
        </w:rPr>
        <w:t xml:space="preserve">The results of stock assessments performed in 2017 indicate that the drastic reduction of fishing effort from 2003 resulted in the partial recovery of some species, such as the slinger, </w:t>
      </w:r>
      <w:proofErr w:type="spellStart"/>
      <w:r w:rsidRPr="00616F95">
        <w:rPr>
          <w:rFonts w:ascii="Times New Roman" w:hAnsi="Times New Roman" w:cs="Times New Roman"/>
          <w:sz w:val="22"/>
          <w:szCs w:val="22"/>
        </w:rPr>
        <w:t>santer</w:t>
      </w:r>
      <w:proofErr w:type="spellEnd"/>
      <w:r w:rsidRPr="00616F95">
        <w:rPr>
          <w:rFonts w:ascii="Times New Roman" w:hAnsi="Times New Roman" w:cs="Times New Roman"/>
          <w:sz w:val="22"/>
          <w:szCs w:val="22"/>
        </w:rPr>
        <w:t xml:space="preserve">, </w:t>
      </w:r>
      <w:proofErr w:type="spellStart"/>
      <w:r w:rsidRPr="00616F95">
        <w:rPr>
          <w:rFonts w:ascii="Times New Roman" w:hAnsi="Times New Roman" w:cs="Times New Roman"/>
          <w:sz w:val="22"/>
          <w:szCs w:val="22"/>
        </w:rPr>
        <w:t>hottentot</w:t>
      </w:r>
      <w:proofErr w:type="spellEnd"/>
      <w:r w:rsidRPr="00616F95">
        <w:rPr>
          <w:rFonts w:ascii="Times New Roman" w:hAnsi="Times New Roman" w:cs="Times New Roman"/>
          <w:sz w:val="22"/>
          <w:szCs w:val="22"/>
        </w:rPr>
        <w:t xml:space="preserve"> seabream and carpenter. However, other important stocks such as silver </w:t>
      </w:r>
      <w:proofErr w:type="spellStart"/>
      <w:r w:rsidRPr="00616F95">
        <w:rPr>
          <w:rFonts w:ascii="Times New Roman" w:hAnsi="Times New Roman" w:cs="Times New Roman"/>
          <w:sz w:val="22"/>
          <w:szCs w:val="22"/>
        </w:rPr>
        <w:t>kob</w:t>
      </w:r>
      <w:proofErr w:type="spellEnd"/>
      <w:r w:rsidRPr="00616F95">
        <w:rPr>
          <w:rFonts w:ascii="Times New Roman" w:hAnsi="Times New Roman" w:cs="Times New Roman"/>
          <w:sz w:val="22"/>
          <w:szCs w:val="22"/>
        </w:rPr>
        <w:t xml:space="preserve"> are still being overfished, due to the cumulative impact of the </w:t>
      </w:r>
      <w:proofErr w:type="spellStart"/>
      <w:r w:rsidRPr="00616F95">
        <w:rPr>
          <w:rFonts w:ascii="Times New Roman" w:hAnsi="Times New Roman" w:cs="Times New Roman"/>
          <w:sz w:val="22"/>
          <w:szCs w:val="22"/>
        </w:rPr>
        <w:t>linefishery</w:t>
      </w:r>
      <w:proofErr w:type="spellEnd"/>
      <w:r w:rsidRPr="00616F95">
        <w:rPr>
          <w:rFonts w:ascii="Times New Roman" w:hAnsi="Times New Roman" w:cs="Times New Roman"/>
          <w:sz w:val="22"/>
          <w:szCs w:val="22"/>
        </w:rPr>
        <w:t xml:space="preserve"> and inshore-trawl fishery on this species. The yellowtail assessment suggests the stock is optimally exploited, while snoek remains underexploited. The annual catch of the nomadic yellowtail and snoek is dependent on their availability to the nearshore </w:t>
      </w:r>
      <w:proofErr w:type="spellStart"/>
      <w:r w:rsidRPr="00616F95">
        <w:rPr>
          <w:rFonts w:ascii="Times New Roman" w:hAnsi="Times New Roman" w:cs="Times New Roman"/>
          <w:sz w:val="22"/>
          <w:szCs w:val="22"/>
        </w:rPr>
        <w:t>linefishers</w:t>
      </w:r>
      <w:proofErr w:type="spellEnd"/>
      <w:r w:rsidRPr="00616F95">
        <w:rPr>
          <w:rFonts w:ascii="Times New Roman" w:hAnsi="Times New Roman" w:cs="Times New Roman"/>
          <w:sz w:val="22"/>
          <w:szCs w:val="22"/>
        </w:rPr>
        <w:t xml:space="preserve"> and is, therefore, highly variable. Moreover, the inconsistent quality of yellowtail and snoek landed by the </w:t>
      </w:r>
      <w:proofErr w:type="spellStart"/>
      <w:r w:rsidRPr="00616F95">
        <w:rPr>
          <w:rFonts w:ascii="Times New Roman" w:hAnsi="Times New Roman" w:cs="Times New Roman"/>
          <w:sz w:val="22"/>
          <w:szCs w:val="22"/>
        </w:rPr>
        <w:t>linefishery</w:t>
      </w:r>
      <w:proofErr w:type="spellEnd"/>
      <w:r w:rsidRPr="00616F95">
        <w:rPr>
          <w:rFonts w:ascii="Times New Roman" w:hAnsi="Times New Roman" w:cs="Times New Roman"/>
          <w:sz w:val="22"/>
          <w:szCs w:val="22"/>
        </w:rPr>
        <w:t xml:space="preserve"> detracts from the optimal use of these important stocks. There is also considerable inter-fishery conflict around these species which are also caught by other fisheries (i.e. trawl and hake handline fishery in the case of snoek and tuna-pole and beach seine net fisheries in the case of yellowtail). </w:t>
      </w:r>
    </w:p>
    <w:p w:rsidR="00FA360C" w:rsidRPr="00616F95" w:rsidRDefault="00FA360C" w:rsidP="00616F95">
      <w:pPr>
        <w:jc w:val="both"/>
        <w:rPr>
          <w:rFonts w:ascii="Times New Roman" w:hAnsi="Times New Roman" w:cs="Times New Roman"/>
        </w:rPr>
      </w:pPr>
      <w:r w:rsidRPr="00616F95">
        <w:rPr>
          <w:rFonts w:ascii="Times New Roman" w:hAnsi="Times New Roman" w:cs="Times New Roman"/>
          <w:b/>
          <w:bCs/>
          <w:noProof/>
          <w:lang w:eastAsia="en-ZA"/>
        </w:rPr>
        <w:drawing>
          <wp:anchor distT="0" distB="0" distL="114300" distR="114300" simplePos="0" relativeHeight="251659264" behindDoc="0" locked="0" layoutInCell="1" allowOverlap="1" wp14:anchorId="70F28F82" wp14:editId="24786D88">
            <wp:simplePos x="0" y="0"/>
            <wp:positionH relativeFrom="margin">
              <wp:align>center</wp:align>
            </wp:positionH>
            <wp:positionV relativeFrom="paragraph">
              <wp:posOffset>113030</wp:posOffset>
            </wp:positionV>
            <wp:extent cx="4039870" cy="3714750"/>
            <wp:effectExtent l="0" t="0" r="0" b="0"/>
            <wp:wrapSquare wrapText="bothSides"/>
            <wp:docPr id="2" name="Picture 2" descr="C:\Users\DenhamP.FISHERIES\Desktop\ko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hamP.FISHERIES\Desktop\kob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2120" cy="37165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360C" w:rsidRPr="00616F95" w:rsidRDefault="00FA360C" w:rsidP="00616F95">
      <w:pPr>
        <w:jc w:val="both"/>
        <w:rPr>
          <w:rFonts w:ascii="Times New Roman" w:hAnsi="Times New Roman" w:cs="Times New Roman"/>
        </w:rPr>
      </w:pPr>
    </w:p>
    <w:p w:rsidR="00FA360C" w:rsidRPr="00616F95" w:rsidRDefault="00FA360C" w:rsidP="00616F95">
      <w:pPr>
        <w:jc w:val="both"/>
        <w:rPr>
          <w:rFonts w:ascii="Times New Roman" w:hAnsi="Times New Roman" w:cs="Times New Roman"/>
        </w:rPr>
      </w:pPr>
    </w:p>
    <w:p w:rsidR="00FA360C" w:rsidRPr="00616F95" w:rsidRDefault="00FA360C" w:rsidP="00616F95">
      <w:pPr>
        <w:jc w:val="both"/>
        <w:rPr>
          <w:rFonts w:ascii="Times New Roman" w:hAnsi="Times New Roman" w:cs="Times New Roman"/>
        </w:rPr>
      </w:pPr>
    </w:p>
    <w:p w:rsidR="00FA360C" w:rsidRPr="00616F95" w:rsidRDefault="00FA360C" w:rsidP="00616F95">
      <w:pPr>
        <w:jc w:val="both"/>
        <w:rPr>
          <w:rFonts w:ascii="Times New Roman" w:hAnsi="Times New Roman" w:cs="Times New Roman"/>
        </w:rPr>
      </w:pPr>
    </w:p>
    <w:p w:rsidR="00FA360C" w:rsidRPr="00616F95" w:rsidRDefault="00FA360C" w:rsidP="00616F95">
      <w:pPr>
        <w:jc w:val="both"/>
        <w:rPr>
          <w:rFonts w:ascii="Times New Roman" w:hAnsi="Times New Roman" w:cs="Times New Roman"/>
        </w:rPr>
      </w:pPr>
    </w:p>
    <w:p w:rsidR="00FA360C" w:rsidRPr="00616F95" w:rsidRDefault="00FA360C" w:rsidP="00616F95">
      <w:pPr>
        <w:jc w:val="both"/>
        <w:rPr>
          <w:rFonts w:ascii="Times New Roman" w:hAnsi="Times New Roman" w:cs="Times New Roman"/>
        </w:rPr>
      </w:pPr>
    </w:p>
    <w:p w:rsidR="00FA360C" w:rsidRPr="00616F95" w:rsidRDefault="00FA360C" w:rsidP="00616F95">
      <w:pPr>
        <w:jc w:val="both"/>
        <w:rPr>
          <w:rFonts w:ascii="Times New Roman" w:hAnsi="Times New Roman" w:cs="Times New Roman"/>
        </w:rPr>
      </w:pPr>
    </w:p>
    <w:p w:rsidR="00FA360C" w:rsidRPr="00616F95" w:rsidRDefault="00FA360C" w:rsidP="00616F95">
      <w:pPr>
        <w:jc w:val="both"/>
        <w:rPr>
          <w:rFonts w:ascii="Times New Roman" w:hAnsi="Times New Roman" w:cs="Times New Roman"/>
        </w:rPr>
      </w:pPr>
    </w:p>
    <w:p w:rsidR="00FA360C" w:rsidRPr="00616F95" w:rsidRDefault="00FA360C" w:rsidP="00616F95">
      <w:pPr>
        <w:jc w:val="both"/>
        <w:rPr>
          <w:rFonts w:ascii="Times New Roman" w:hAnsi="Times New Roman" w:cs="Times New Roman"/>
        </w:rPr>
      </w:pPr>
    </w:p>
    <w:p w:rsidR="00FA360C" w:rsidRPr="00616F95" w:rsidRDefault="00FA360C" w:rsidP="00616F95">
      <w:pPr>
        <w:jc w:val="both"/>
        <w:rPr>
          <w:rFonts w:ascii="Times New Roman" w:hAnsi="Times New Roman" w:cs="Times New Roman"/>
        </w:rPr>
      </w:pPr>
    </w:p>
    <w:p w:rsidR="00FA360C" w:rsidRPr="00616F95" w:rsidRDefault="00FA360C" w:rsidP="00616F95">
      <w:pPr>
        <w:jc w:val="both"/>
        <w:rPr>
          <w:rFonts w:ascii="Times New Roman" w:hAnsi="Times New Roman" w:cs="Times New Roman"/>
        </w:rPr>
      </w:pPr>
    </w:p>
    <w:p w:rsidR="00950B05" w:rsidRDefault="00950B05" w:rsidP="00616F95">
      <w:pPr>
        <w:pStyle w:val="BasicParagraph"/>
        <w:jc w:val="both"/>
        <w:rPr>
          <w:rFonts w:ascii="Times New Roman" w:hAnsi="Times New Roman" w:cs="Times New Roman"/>
          <w:b/>
          <w:bCs/>
          <w:sz w:val="22"/>
          <w:szCs w:val="22"/>
        </w:rPr>
      </w:pPr>
    </w:p>
    <w:p w:rsidR="00FA360C" w:rsidRPr="00616F95" w:rsidRDefault="00950B05" w:rsidP="00616F95">
      <w:pPr>
        <w:pStyle w:val="BasicParagraph"/>
        <w:jc w:val="both"/>
        <w:rPr>
          <w:rFonts w:ascii="Times New Roman" w:hAnsi="Times New Roman" w:cs="Times New Roman"/>
          <w:bCs/>
          <w:sz w:val="22"/>
          <w:szCs w:val="22"/>
        </w:rPr>
      </w:pPr>
      <w:r>
        <w:rPr>
          <w:rFonts w:ascii="Times New Roman" w:hAnsi="Times New Roman" w:cs="Times New Roman"/>
          <w:b/>
          <w:bCs/>
          <w:sz w:val="22"/>
          <w:szCs w:val="22"/>
        </w:rPr>
        <w:t>Figure 1</w:t>
      </w:r>
      <w:r w:rsidR="00FA360C" w:rsidRPr="00616F95">
        <w:rPr>
          <w:rFonts w:ascii="Times New Roman" w:hAnsi="Times New Roman" w:cs="Times New Roman"/>
          <w:b/>
          <w:bCs/>
          <w:sz w:val="22"/>
          <w:szCs w:val="22"/>
        </w:rPr>
        <w:t xml:space="preserve">: </w:t>
      </w:r>
      <w:r w:rsidR="00FA360C" w:rsidRPr="00616F95">
        <w:rPr>
          <w:rFonts w:ascii="Times New Roman" w:hAnsi="Times New Roman" w:cs="Times New Roman"/>
          <w:bCs/>
          <w:sz w:val="22"/>
          <w:szCs w:val="22"/>
        </w:rPr>
        <w:t>Kobe phase plot summarizing the stock status estimates of fishing mortality relative to F</w:t>
      </w:r>
      <w:r w:rsidR="00FA360C" w:rsidRPr="00616F95">
        <w:rPr>
          <w:rFonts w:ascii="Times New Roman" w:hAnsi="Times New Roman" w:cs="Times New Roman"/>
          <w:bCs/>
          <w:sz w:val="22"/>
          <w:szCs w:val="22"/>
          <w:vertAlign w:val="subscript"/>
        </w:rPr>
        <w:t>MSY</w:t>
      </w:r>
      <w:r w:rsidR="00FA360C" w:rsidRPr="00616F95">
        <w:rPr>
          <w:rFonts w:ascii="Times New Roman" w:hAnsi="Times New Roman" w:cs="Times New Roman"/>
          <w:bCs/>
          <w:sz w:val="22"/>
          <w:szCs w:val="22"/>
        </w:rPr>
        <w:t xml:space="preserve"> and biomass relative to B</w:t>
      </w:r>
      <w:r w:rsidR="00FA360C" w:rsidRPr="00616F95">
        <w:rPr>
          <w:rFonts w:ascii="Times New Roman" w:hAnsi="Times New Roman" w:cs="Times New Roman"/>
          <w:bCs/>
          <w:sz w:val="22"/>
          <w:szCs w:val="22"/>
          <w:vertAlign w:val="subscript"/>
        </w:rPr>
        <w:t>MSY</w:t>
      </w:r>
      <w:r w:rsidR="00FA360C" w:rsidRPr="00616F95">
        <w:rPr>
          <w:rFonts w:ascii="Times New Roman" w:hAnsi="Times New Roman" w:cs="Times New Roman"/>
          <w:bCs/>
          <w:sz w:val="22"/>
          <w:szCs w:val="22"/>
        </w:rPr>
        <w:t xml:space="preserve"> for </w:t>
      </w:r>
      <w:proofErr w:type="spellStart"/>
      <w:r w:rsidR="00FA360C" w:rsidRPr="00616F95">
        <w:rPr>
          <w:rFonts w:ascii="Times New Roman" w:hAnsi="Times New Roman" w:cs="Times New Roman"/>
          <w:bCs/>
          <w:sz w:val="22"/>
          <w:szCs w:val="22"/>
        </w:rPr>
        <w:t>linefish</w:t>
      </w:r>
      <w:proofErr w:type="spellEnd"/>
      <w:r w:rsidR="00FA360C" w:rsidRPr="00616F95">
        <w:rPr>
          <w:rFonts w:ascii="Times New Roman" w:hAnsi="Times New Roman" w:cs="Times New Roman"/>
          <w:bCs/>
          <w:sz w:val="22"/>
          <w:szCs w:val="22"/>
        </w:rPr>
        <w:t xml:space="preserve"> species. Only results from stock assessments conducted by the </w:t>
      </w:r>
      <w:proofErr w:type="spellStart"/>
      <w:r w:rsidR="00FA360C" w:rsidRPr="00616F95">
        <w:rPr>
          <w:rFonts w:ascii="Times New Roman" w:hAnsi="Times New Roman" w:cs="Times New Roman"/>
          <w:bCs/>
          <w:sz w:val="22"/>
          <w:szCs w:val="22"/>
        </w:rPr>
        <w:t>Linefish</w:t>
      </w:r>
      <w:proofErr w:type="spellEnd"/>
      <w:r w:rsidR="00FA360C" w:rsidRPr="00616F95">
        <w:rPr>
          <w:rFonts w:ascii="Times New Roman" w:hAnsi="Times New Roman" w:cs="Times New Roman"/>
          <w:bCs/>
          <w:sz w:val="22"/>
          <w:szCs w:val="22"/>
        </w:rPr>
        <w:t xml:space="preserve"> Scientific Working Group (LSWG) in 2017 are included. </w:t>
      </w:r>
    </w:p>
    <w:p w:rsidR="004204B2" w:rsidRDefault="004204B2" w:rsidP="00616F95">
      <w:pPr>
        <w:pStyle w:val="BasicParagraph"/>
        <w:ind w:firstLine="227"/>
        <w:jc w:val="both"/>
        <w:rPr>
          <w:rFonts w:ascii="Times New Roman" w:hAnsi="Times New Roman" w:cs="Times New Roman"/>
          <w:b/>
          <w:sz w:val="22"/>
          <w:szCs w:val="22"/>
        </w:rPr>
      </w:pPr>
    </w:p>
    <w:p w:rsidR="00DE6199" w:rsidRDefault="00DE6199" w:rsidP="00616F95">
      <w:pPr>
        <w:pStyle w:val="BasicParagraph"/>
        <w:ind w:firstLine="227"/>
        <w:jc w:val="both"/>
        <w:rPr>
          <w:rFonts w:ascii="Times New Roman" w:hAnsi="Times New Roman" w:cs="Times New Roman"/>
          <w:b/>
          <w:sz w:val="22"/>
          <w:szCs w:val="22"/>
        </w:rPr>
      </w:pPr>
    </w:p>
    <w:p w:rsidR="00616F95" w:rsidRPr="00616F95" w:rsidRDefault="00616F95" w:rsidP="00DE6199">
      <w:pPr>
        <w:pStyle w:val="BasicParagraph"/>
        <w:jc w:val="both"/>
        <w:rPr>
          <w:rFonts w:ascii="Times New Roman" w:hAnsi="Times New Roman" w:cs="Times New Roman"/>
          <w:color w:val="auto"/>
          <w:sz w:val="22"/>
          <w:szCs w:val="22"/>
          <w:lang w:val="en-ZA"/>
        </w:rPr>
      </w:pPr>
      <w:r w:rsidRPr="00616F95">
        <w:rPr>
          <w:rFonts w:ascii="Times New Roman" w:hAnsi="Times New Roman" w:cs="Times New Roman"/>
          <w:b/>
          <w:sz w:val="22"/>
          <w:szCs w:val="22"/>
        </w:rPr>
        <w:lastRenderedPageBreak/>
        <w:t>Table 1:</w:t>
      </w:r>
      <w:r w:rsidRPr="00616F95">
        <w:rPr>
          <w:rFonts w:ascii="Times New Roman" w:hAnsi="Times New Roman" w:cs="Times New Roman"/>
          <w:sz w:val="22"/>
          <w:szCs w:val="22"/>
        </w:rPr>
        <w:t xml:space="preserve"> </w:t>
      </w:r>
      <w:r w:rsidR="00DE6199">
        <w:rPr>
          <w:rFonts w:ascii="Times New Roman" w:hAnsi="Times New Roman" w:cs="Times New Roman"/>
          <w:sz w:val="22"/>
          <w:szCs w:val="22"/>
        </w:rPr>
        <w:t>Reported a</w:t>
      </w:r>
      <w:r w:rsidRPr="00616F95">
        <w:rPr>
          <w:rFonts w:ascii="Times New Roman" w:hAnsi="Times New Roman" w:cs="Times New Roman"/>
          <w:sz w:val="22"/>
          <w:szCs w:val="22"/>
        </w:rPr>
        <w:t xml:space="preserve">nnual catch (t) of the eight most important </w:t>
      </w:r>
      <w:proofErr w:type="spellStart"/>
      <w:r w:rsidRPr="00616F95">
        <w:rPr>
          <w:rFonts w:ascii="Times New Roman" w:hAnsi="Times New Roman" w:cs="Times New Roman"/>
          <w:sz w:val="22"/>
          <w:szCs w:val="22"/>
        </w:rPr>
        <w:t>linefish</w:t>
      </w:r>
      <w:proofErr w:type="spellEnd"/>
      <w:r w:rsidRPr="00616F95">
        <w:rPr>
          <w:rFonts w:ascii="Times New Roman" w:hAnsi="Times New Roman" w:cs="Times New Roman"/>
          <w:sz w:val="22"/>
          <w:szCs w:val="22"/>
        </w:rPr>
        <w:t xml:space="preserve"> species for the period 1985 </w:t>
      </w:r>
      <w:r w:rsidR="002075EF">
        <w:rPr>
          <w:rFonts w:ascii="Times New Roman" w:hAnsi="Times New Roman" w:cs="Times New Roman"/>
          <w:sz w:val="22"/>
          <w:szCs w:val="22"/>
        </w:rPr>
        <w:t xml:space="preserve">to </w:t>
      </w:r>
      <w:r w:rsidRPr="00616F95">
        <w:rPr>
          <w:rFonts w:ascii="Times New Roman" w:hAnsi="Times New Roman" w:cs="Times New Roman"/>
          <w:sz w:val="22"/>
          <w:szCs w:val="22"/>
        </w:rPr>
        <w:t>2017.</w:t>
      </w:r>
      <w:r w:rsidRPr="00616F95">
        <w:rPr>
          <w:rFonts w:ascii="Times New Roman" w:hAnsi="Times New Roman" w:cs="Times New Roman"/>
          <w:sz w:val="22"/>
          <w:szCs w:val="22"/>
        </w:rPr>
        <w:fldChar w:fldCharType="begin"/>
      </w:r>
      <w:r w:rsidRPr="00616F95">
        <w:rPr>
          <w:rFonts w:ascii="Times New Roman" w:hAnsi="Times New Roman" w:cs="Times New Roman"/>
          <w:sz w:val="22"/>
          <w:szCs w:val="22"/>
        </w:rPr>
        <w:instrText xml:space="preserve"> LINK Excel.Sheet.12 "C:\\Users\\DenhamP.FISHERIES\\Desktop\\stattus of the resources table 3.xlsx" Sheet1!R1C1:R9C18 \a \f 4 \h  \* MERGEFORMAT </w:instrText>
      </w:r>
      <w:r w:rsidRPr="00616F95">
        <w:rPr>
          <w:rFonts w:ascii="Times New Roman" w:hAnsi="Times New Roman" w:cs="Times New Roman"/>
          <w:sz w:val="22"/>
          <w:szCs w:val="22"/>
        </w:rPr>
        <w:fldChar w:fldCharType="separate"/>
      </w:r>
    </w:p>
    <w:p w:rsidR="00616F95" w:rsidRPr="00616F95" w:rsidRDefault="00616F95" w:rsidP="00DE6199">
      <w:pPr>
        <w:pStyle w:val="BasicParagraph"/>
        <w:jc w:val="both"/>
        <w:rPr>
          <w:rFonts w:ascii="Times New Roman" w:hAnsi="Times New Roman" w:cs="Times New Roman"/>
          <w:sz w:val="22"/>
          <w:szCs w:val="22"/>
        </w:rPr>
      </w:pPr>
      <w:r w:rsidRPr="00616F95">
        <w:rPr>
          <w:rFonts w:ascii="Times New Roman" w:hAnsi="Times New Roman" w:cs="Times New Roman"/>
          <w:sz w:val="22"/>
          <w:szCs w:val="22"/>
        </w:rPr>
        <w:fldChar w:fldCharType="end"/>
      </w:r>
    </w:p>
    <w:tbl>
      <w:tblPr>
        <w:tblW w:w="10488" w:type="dxa"/>
        <w:jc w:val="center"/>
        <w:tblLook w:val="04A0" w:firstRow="1" w:lastRow="0" w:firstColumn="1" w:lastColumn="0" w:noHBand="0" w:noVBand="1"/>
      </w:tblPr>
      <w:tblGrid>
        <w:gridCol w:w="960"/>
        <w:gridCol w:w="1191"/>
        <w:gridCol w:w="1191"/>
        <w:gridCol w:w="1191"/>
        <w:gridCol w:w="1191"/>
        <w:gridCol w:w="1191"/>
        <w:gridCol w:w="1191"/>
        <w:gridCol w:w="1191"/>
        <w:gridCol w:w="1191"/>
      </w:tblGrid>
      <w:tr w:rsidR="00616F95" w:rsidRPr="00616F95" w:rsidTr="00616F95">
        <w:trPr>
          <w:trHeight w:val="600"/>
          <w:jc w:val="center"/>
        </w:trPr>
        <w:tc>
          <w:tcPr>
            <w:tcW w:w="960" w:type="dxa"/>
            <w:tcBorders>
              <w:top w:val="single" w:sz="4" w:space="0" w:color="auto"/>
              <w:left w:val="nil"/>
              <w:bottom w:val="nil"/>
              <w:right w:val="nil"/>
            </w:tcBorders>
            <w:shd w:val="clear" w:color="auto" w:fill="auto"/>
            <w:noWrap/>
            <w:vAlign w:val="center"/>
            <w:hideMark/>
          </w:tcPr>
          <w:p w:rsidR="00616F95" w:rsidRPr="00616F95" w:rsidRDefault="00616F95" w:rsidP="00616F95">
            <w:pPr>
              <w:spacing w:after="0" w:line="240" w:lineRule="auto"/>
              <w:rPr>
                <w:rFonts w:ascii="Times New Roman" w:eastAsia="Times New Roman" w:hAnsi="Times New Roman" w:cs="Times New Roman"/>
                <w:b/>
                <w:bCs/>
                <w:color w:val="000000"/>
                <w:sz w:val="20"/>
                <w:szCs w:val="20"/>
                <w:lang w:eastAsia="en-ZA"/>
              </w:rPr>
            </w:pPr>
            <w:r w:rsidRPr="00616F95">
              <w:rPr>
                <w:rFonts w:ascii="Times New Roman" w:eastAsia="Times New Roman" w:hAnsi="Times New Roman" w:cs="Times New Roman"/>
                <w:b/>
                <w:bCs/>
                <w:color w:val="000000"/>
                <w:sz w:val="20"/>
                <w:szCs w:val="20"/>
                <w:lang w:eastAsia="en-ZA"/>
              </w:rPr>
              <w:t>Year</w:t>
            </w:r>
          </w:p>
        </w:tc>
        <w:tc>
          <w:tcPr>
            <w:tcW w:w="1191" w:type="dxa"/>
            <w:tcBorders>
              <w:top w:val="single" w:sz="4" w:space="0" w:color="auto"/>
              <w:left w:val="nil"/>
              <w:bottom w:val="single" w:sz="4" w:space="0" w:color="auto"/>
              <w:right w:val="nil"/>
            </w:tcBorders>
            <w:shd w:val="clear" w:color="auto" w:fill="auto"/>
            <w:vAlign w:val="center"/>
            <w:hideMark/>
          </w:tcPr>
          <w:p w:rsidR="00616F95" w:rsidRPr="00616F95" w:rsidRDefault="00616F95" w:rsidP="00704438">
            <w:pPr>
              <w:spacing w:after="0" w:line="240" w:lineRule="auto"/>
              <w:jc w:val="center"/>
              <w:rPr>
                <w:rFonts w:ascii="Times New Roman" w:eastAsia="Times New Roman" w:hAnsi="Times New Roman" w:cs="Times New Roman"/>
                <w:b/>
                <w:bCs/>
                <w:color w:val="000000"/>
                <w:sz w:val="20"/>
                <w:szCs w:val="20"/>
                <w:lang w:eastAsia="en-ZA"/>
              </w:rPr>
            </w:pPr>
            <w:r w:rsidRPr="00616F95">
              <w:rPr>
                <w:rFonts w:ascii="Times New Roman" w:eastAsia="Times New Roman" w:hAnsi="Times New Roman" w:cs="Times New Roman"/>
                <w:b/>
                <w:bCs/>
                <w:color w:val="000000"/>
                <w:sz w:val="20"/>
                <w:szCs w:val="20"/>
                <w:lang w:eastAsia="en-ZA"/>
              </w:rPr>
              <w:t>Snoek</w:t>
            </w:r>
          </w:p>
        </w:tc>
        <w:tc>
          <w:tcPr>
            <w:tcW w:w="1191" w:type="dxa"/>
            <w:tcBorders>
              <w:top w:val="single" w:sz="4" w:space="0" w:color="auto"/>
              <w:left w:val="nil"/>
              <w:bottom w:val="single" w:sz="4" w:space="0" w:color="auto"/>
              <w:right w:val="nil"/>
            </w:tcBorders>
            <w:shd w:val="clear" w:color="auto" w:fill="auto"/>
            <w:vAlign w:val="center"/>
            <w:hideMark/>
          </w:tcPr>
          <w:p w:rsidR="00616F95" w:rsidRPr="00616F95" w:rsidRDefault="00616F95" w:rsidP="00704438">
            <w:pPr>
              <w:spacing w:after="0" w:line="240" w:lineRule="auto"/>
              <w:jc w:val="center"/>
              <w:rPr>
                <w:rFonts w:ascii="Times New Roman" w:eastAsia="Times New Roman" w:hAnsi="Times New Roman" w:cs="Times New Roman"/>
                <w:b/>
                <w:bCs/>
                <w:color w:val="000000"/>
                <w:sz w:val="20"/>
                <w:szCs w:val="20"/>
                <w:lang w:eastAsia="en-ZA"/>
              </w:rPr>
            </w:pPr>
            <w:r w:rsidRPr="00616F95">
              <w:rPr>
                <w:rFonts w:ascii="Times New Roman" w:eastAsia="Times New Roman" w:hAnsi="Times New Roman" w:cs="Times New Roman"/>
                <w:b/>
                <w:bCs/>
                <w:color w:val="000000"/>
                <w:sz w:val="20"/>
                <w:szCs w:val="20"/>
                <w:lang w:eastAsia="en-ZA"/>
              </w:rPr>
              <w:t>Yellowtail</w:t>
            </w:r>
          </w:p>
        </w:tc>
        <w:tc>
          <w:tcPr>
            <w:tcW w:w="1191" w:type="dxa"/>
            <w:tcBorders>
              <w:top w:val="single" w:sz="4" w:space="0" w:color="auto"/>
              <w:left w:val="nil"/>
              <w:bottom w:val="single" w:sz="4" w:space="0" w:color="auto"/>
              <w:right w:val="nil"/>
            </w:tcBorders>
            <w:shd w:val="clear" w:color="auto" w:fill="auto"/>
            <w:vAlign w:val="center"/>
            <w:hideMark/>
          </w:tcPr>
          <w:p w:rsidR="00616F95" w:rsidRPr="00616F95" w:rsidRDefault="00616F95" w:rsidP="00704438">
            <w:pPr>
              <w:spacing w:after="0" w:line="240" w:lineRule="auto"/>
              <w:jc w:val="center"/>
              <w:rPr>
                <w:rFonts w:ascii="Times New Roman" w:eastAsia="Times New Roman" w:hAnsi="Times New Roman" w:cs="Times New Roman"/>
                <w:b/>
                <w:bCs/>
                <w:color w:val="000000"/>
                <w:sz w:val="20"/>
                <w:szCs w:val="20"/>
                <w:lang w:eastAsia="en-ZA"/>
              </w:rPr>
            </w:pPr>
            <w:proofErr w:type="spellStart"/>
            <w:r w:rsidRPr="00616F95">
              <w:rPr>
                <w:rFonts w:ascii="Times New Roman" w:eastAsia="Times New Roman" w:hAnsi="Times New Roman" w:cs="Times New Roman"/>
                <w:b/>
                <w:bCs/>
                <w:color w:val="000000"/>
                <w:sz w:val="20"/>
                <w:szCs w:val="20"/>
                <w:lang w:eastAsia="en-ZA"/>
              </w:rPr>
              <w:t>Kob</w:t>
            </w:r>
            <w:proofErr w:type="spellEnd"/>
          </w:p>
        </w:tc>
        <w:tc>
          <w:tcPr>
            <w:tcW w:w="1191" w:type="dxa"/>
            <w:tcBorders>
              <w:top w:val="single" w:sz="4" w:space="0" w:color="auto"/>
              <w:left w:val="nil"/>
              <w:bottom w:val="single" w:sz="4" w:space="0" w:color="auto"/>
              <w:right w:val="nil"/>
            </w:tcBorders>
            <w:shd w:val="clear" w:color="auto" w:fill="auto"/>
            <w:vAlign w:val="center"/>
            <w:hideMark/>
          </w:tcPr>
          <w:p w:rsidR="00616F95" w:rsidRPr="00616F95" w:rsidRDefault="00616F95" w:rsidP="00704438">
            <w:pPr>
              <w:spacing w:after="0" w:line="240" w:lineRule="auto"/>
              <w:jc w:val="center"/>
              <w:rPr>
                <w:rFonts w:ascii="Times New Roman" w:eastAsia="Times New Roman" w:hAnsi="Times New Roman" w:cs="Times New Roman"/>
                <w:b/>
                <w:bCs/>
                <w:color w:val="000000"/>
                <w:sz w:val="20"/>
                <w:szCs w:val="20"/>
                <w:lang w:eastAsia="en-ZA"/>
              </w:rPr>
            </w:pPr>
            <w:r w:rsidRPr="00616F95">
              <w:rPr>
                <w:rFonts w:ascii="Times New Roman" w:eastAsia="Times New Roman" w:hAnsi="Times New Roman" w:cs="Times New Roman"/>
                <w:b/>
                <w:bCs/>
                <w:color w:val="000000"/>
                <w:sz w:val="20"/>
                <w:szCs w:val="20"/>
                <w:lang w:eastAsia="en-ZA"/>
              </w:rPr>
              <w:t>Carpenter</w:t>
            </w:r>
          </w:p>
        </w:tc>
        <w:tc>
          <w:tcPr>
            <w:tcW w:w="1191" w:type="dxa"/>
            <w:tcBorders>
              <w:top w:val="single" w:sz="4" w:space="0" w:color="auto"/>
              <w:left w:val="nil"/>
              <w:bottom w:val="single" w:sz="4" w:space="0" w:color="auto"/>
              <w:right w:val="nil"/>
            </w:tcBorders>
            <w:shd w:val="clear" w:color="auto" w:fill="auto"/>
            <w:vAlign w:val="center"/>
            <w:hideMark/>
          </w:tcPr>
          <w:p w:rsidR="00616F95" w:rsidRPr="00616F95" w:rsidRDefault="00616F95" w:rsidP="00704438">
            <w:pPr>
              <w:spacing w:after="0" w:line="240" w:lineRule="auto"/>
              <w:jc w:val="center"/>
              <w:rPr>
                <w:rFonts w:ascii="Times New Roman" w:eastAsia="Times New Roman" w:hAnsi="Times New Roman" w:cs="Times New Roman"/>
                <w:b/>
                <w:bCs/>
                <w:color w:val="000000"/>
                <w:sz w:val="20"/>
                <w:szCs w:val="20"/>
                <w:lang w:eastAsia="en-ZA"/>
              </w:rPr>
            </w:pPr>
            <w:r w:rsidRPr="00616F95">
              <w:rPr>
                <w:rFonts w:ascii="Times New Roman" w:eastAsia="Times New Roman" w:hAnsi="Times New Roman" w:cs="Times New Roman"/>
                <w:b/>
                <w:bCs/>
                <w:color w:val="000000"/>
                <w:sz w:val="20"/>
                <w:szCs w:val="20"/>
                <w:lang w:eastAsia="en-ZA"/>
              </w:rPr>
              <w:t>Slinger</w:t>
            </w:r>
          </w:p>
        </w:tc>
        <w:tc>
          <w:tcPr>
            <w:tcW w:w="1191" w:type="dxa"/>
            <w:tcBorders>
              <w:top w:val="single" w:sz="4" w:space="0" w:color="auto"/>
              <w:left w:val="nil"/>
              <w:bottom w:val="single" w:sz="4" w:space="0" w:color="auto"/>
              <w:right w:val="nil"/>
            </w:tcBorders>
            <w:shd w:val="clear" w:color="auto" w:fill="auto"/>
            <w:vAlign w:val="center"/>
            <w:hideMark/>
          </w:tcPr>
          <w:p w:rsidR="00616F95" w:rsidRPr="00616F95" w:rsidRDefault="00616F95" w:rsidP="00704438">
            <w:pPr>
              <w:spacing w:after="0" w:line="240" w:lineRule="auto"/>
              <w:jc w:val="center"/>
              <w:rPr>
                <w:rFonts w:ascii="Times New Roman" w:eastAsia="Times New Roman" w:hAnsi="Times New Roman" w:cs="Times New Roman"/>
                <w:b/>
                <w:bCs/>
                <w:color w:val="000000"/>
                <w:sz w:val="20"/>
                <w:szCs w:val="20"/>
                <w:lang w:eastAsia="en-ZA"/>
              </w:rPr>
            </w:pPr>
            <w:r w:rsidRPr="00616F95">
              <w:rPr>
                <w:rFonts w:ascii="Times New Roman" w:eastAsia="Times New Roman" w:hAnsi="Times New Roman" w:cs="Times New Roman"/>
                <w:b/>
                <w:bCs/>
                <w:color w:val="000000"/>
                <w:sz w:val="20"/>
                <w:szCs w:val="20"/>
                <w:lang w:eastAsia="en-ZA"/>
              </w:rPr>
              <w:t>Hottentot seabream</w:t>
            </w:r>
          </w:p>
        </w:tc>
        <w:tc>
          <w:tcPr>
            <w:tcW w:w="1191" w:type="dxa"/>
            <w:tcBorders>
              <w:top w:val="single" w:sz="4" w:space="0" w:color="auto"/>
              <w:left w:val="nil"/>
              <w:bottom w:val="single" w:sz="4" w:space="0" w:color="auto"/>
              <w:right w:val="nil"/>
            </w:tcBorders>
            <w:shd w:val="clear" w:color="auto" w:fill="auto"/>
            <w:vAlign w:val="center"/>
            <w:hideMark/>
          </w:tcPr>
          <w:p w:rsidR="00616F95" w:rsidRPr="00616F95" w:rsidRDefault="00616F95" w:rsidP="00704438">
            <w:pPr>
              <w:spacing w:after="0" w:line="240" w:lineRule="auto"/>
              <w:jc w:val="center"/>
              <w:rPr>
                <w:rFonts w:ascii="Times New Roman" w:eastAsia="Times New Roman" w:hAnsi="Times New Roman" w:cs="Times New Roman"/>
                <w:b/>
                <w:bCs/>
                <w:color w:val="000000"/>
                <w:sz w:val="20"/>
                <w:szCs w:val="20"/>
                <w:lang w:eastAsia="en-ZA"/>
              </w:rPr>
            </w:pPr>
            <w:proofErr w:type="spellStart"/>
            <w:r w:rsidRPr="00616F95">
              <w:rPr>
                <w:rFonts w:ascii="Times New Roman" w:eastAsia="Times New Roman" w:hAnsi="Times New Roman" w:cs="Times New Roman"/>
                <w:b/>
                <w:bCs/>
                <w:color w:val="000000"/>
                <w:sz w:val="20"/>
                <w:szCs w:val="20"/>
                <w:lang w:eastAsia="en-ZA"/>
              </w:rPr>
              <w:t>Geelbek</w:t>
            </w:r>
            <w:proofErr w:type="spellEnd"/>
            <w:r w:rsidRPr="00616F95">
              <w:rPr>
                <w:rFonts w:ascii="Times New Roman" w:eastAsia="Times New Roman" w:hAnsi="Times New Roman" w:cs="Times New Roman"/>
                <w:b/>
                <w:bCs/>
                <w:color w:val="000000"/>
                <w:sz w:val="20"/>
                <w:szCs w:val="20"/>
                <w:lang w:eastAsia="en-ZA"/>
              </w:rPr>
              <w:t xml:space="preserve"> </w:t>
            </w:r>
          </w:p>
        </w:tc>
        <w:tc>
          <w:tcPr>
            <w:tcW w:w="1191" w:type="dxa"/>
            <w:tcBorders>
              <w:top w:val="single" w:sz="4" w:space="0" w:color="auto"/>
              <w:left w:val="nil"/>
              <w:bottom w:val="single" w:sz="4" w:space="0" w:color="auto"/>
              <w:right w:val="nil"/>
            </w:tcBorders>
            <w:shd w:val="clear" w:color="auto" w:fill="auto"/>
            <w:vAlign w:val="center"/>
            <w:hideMark/>
          </w:tcPr>
          <w:p w:rsidR="00616F95" w:rsidRPr="00616F95" w:rsidRDefault="00616F95" w:rsidP="00704438">
            <w:pPr>
              <w:spacing w:after="0" w:line="240" w:lineRule="auto"/>
              <w:jc w:val="center"/>
              <w:rPr>
                <w:rFonts w:ascii="Times New Roman" w:eastAsia="Times New Roman" w:hAnsi="Times New Roman" w:cs="Times New Roman"/>
                <w:b/>
                <w:bCs/>
                <w:color w:val="000000"/>
                <w:sz w:val="20"/>
                <w:szCs w:val="20"/>
                <w:lang w:eastAsia="en-ZA"/>
              </w:rPr>
            </w:pPr>
            <w:proofErr w:type="spellStart"/>
            <w:r w:rsidRPr="00616F95">
              <w:rPr>
                <w:rFonts w:ascii="Times New Roman" w:eastAsia="Times New Roman" w:hAnsi="Times New Roman" w:cs="Times New Roman"/>
                <w:b/>
                <w:bCs/>
                <w:color w:val="000000"/>
                <w:sz w:val="20"/>
                <w:szCs w:val="20"/>
                <w:lang w:eastAsia="en-ZA"/>
              </w:rPr>
              <w:t>Santer</w:t>
            </w:r>
            <w:proofErr w:type="spellEnd"/>
          </w:p>
        </w:tc>
      </w:tr>
      <w:tr w:rsidR="00616F95" w:rsidRPr="00616F95" w:rsidTr="00616F95">
        <w:trPr>
          <w:trHeight w:val="300"/>
          <w:jc w:val="center"/>
        </w:trPr>
        <w:tc>
          <w:tcPr>
            <w:tcW w:w="960" w:type="dxa"/>
            <w:tcBorders>
              <w:top w:val="single" w:sz="4" w:space="0" w:color="auto"/>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1985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1063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324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1504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588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312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399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152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73</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1986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3143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817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2016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768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268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811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262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99</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1987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5642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809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1902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831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246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915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436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99</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1988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4919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722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1822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877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132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953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482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57</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1989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4039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868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2097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775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739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810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60</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1990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7892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585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2540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1228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262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542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513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86</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1991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6556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542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2082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1210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249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522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457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89</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1992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5692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591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1799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873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305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496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530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114</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1993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2948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888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1867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695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298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614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610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124</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1994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7759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868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1348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638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217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815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468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82</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1995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9618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801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1422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758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235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252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396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85</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1996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7063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497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1415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879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179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276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384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80</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1997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6623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488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1471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841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128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322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524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68</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1998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7872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565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1331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518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114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408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684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64</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1999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8348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339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1026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574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160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270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467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60</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2000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6543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320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1093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441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186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234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894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75</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2001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6839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327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831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285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139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109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395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69</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2002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3837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242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784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231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101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315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48</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2003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4532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329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544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177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106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513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48</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2004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7278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883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720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228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184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254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672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87</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2005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4787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739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647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184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169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168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580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84</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2006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3529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310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800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159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419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79</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2007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2765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478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841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265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157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128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448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84</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2008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5223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313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715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226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120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403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82</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2009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6322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330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884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282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186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184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495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66</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2010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6360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171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838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263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180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144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408</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69</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2011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6205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625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363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214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216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286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62</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2012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6809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382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441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300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240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160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337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82</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2013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6690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712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313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481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173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263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84</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2014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3863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987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289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522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212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74</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2015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2104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609</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246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522</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186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143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244</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69</w:t>
            </w:r>
          </w:p>
        </w:tc>
      </w:tr>
      <w:tr w:rsidR="00616F95" w:rsidRPr="00616F95" w:rsidTr="00616F95">
        <w:trPr>
          <w:trHeight w:val="300"/>
          <w:jc w:val="center"/>
        </w:trPr>
        <w:tc>
          <w:tcPr>
            <w:tcW w:w="960" w:type="dxa"/>
            <w:tcBorders>
              <w:top w:val="nil"/>
              <w:left w:val="nil"/>
              <w:bottom w:val="nil"/>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2016</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1681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475</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277</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713</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211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211</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250</w:t>
            </w:r>
          </w:p>
        </w:tc>
        <w:tc>
          <w:tcPr>
            <w:tcW w:w="1191" w:type="dxa"/>
            <w:tcBorders>
              <w:top w:val="nil"/>
              <w:left w:val="nil"/>
              <w:bottom w:val="nil"/>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66</w:t>
            </w:r>
          </w:p>
        </w:tc>
      </w:tr>
      <w:tr w:rsidR="00616F95" w:rsidRPr="00616F95" w:rsidTr="00616F95">
        <w:trPr>
          <w:trHeight w:val="300"/>
          <w:jc w:val="center"/>
        </w:trPr>
        <w:tc>
          <w:tcPr>
            <w:tcW w:w="960" w:type="dxa"/>
            <w:tcBorders>
              <w:top w:val="nil"/>
              <w:left w:val="nil"/>
              <w:bottom w:val="single" w:sz="4" w:space="0" w:color="auto"/>
              <w:right w:val="nil"/>
            </w:tcBorders>
            <w:shd w:val="clear" w:color="auto" w:fill="auto"/>
            <w:vAlign w:val="bottom"/>
            <w:hideMark/>
          </w:tcPr>
          <w:p w:rsidR="00616F95" w:rsidRPr="00616F95" w:rsidRDefault="00616F95" w:rsidP="00616F95">
            <w:pPr>
              <w:spacing w:after="0" w:line="240" w:lineRule="auto"/>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2017</w:t>
            </w:r>
          </w:p>
        </w:tc>
        <w:tc>
          <w:tcPr>
            <w:tcW w:w="1191" w:type="dxa"/>
            <w:tcBorders>
              <w:top w:val="nil"/>
              <w:left w:val="nil"/>
              <w:bottom w:val="single" w:sz="4" w:space="0" w:color="auto"/>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1888</w:t>
            </w:r>
          </w:p>
        </w:tc>
        <w:tc>
          <w:tcPr>
            <w:tcW w:w="1191" w:type="dxa"/>
            <w:tcBorders>
              <w:top w:val="nil"/>
              <w:left w:val="nil"/>
              <w:bottom w:val="single" w:sz="4" w:space="0" w:color="auto"/>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361</w:t>
            </w:r>
          </w:p>
        </w:tc>
        <w:tc>
          <w:tcPr>
            <w:tcW w:w="1191" w:type="dxa"/>
            <w:tcBorders>
              <w:top w:val="nil"/>
              <w:left w:val="nil"/>
              <w:bottom w:val="single" w:sz="4" w:space="0" w:color="auto"/>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199</w:t>
            </w:r>
          </w:p>
        </w:tc>
        <w:tc>
          <w:tcPr>
            <w:tcW w:w="1191" w:type="dxa"/>
            <w:tcBorders>
              <w:top w:val="nil"/>
              <w:left w:val="nil"/>
              <w:bottom w:val="single" w:sz="4" w:space="0" w:color="auto"/>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820</w:t>
            </w:r>
          </w:p>
        </w:tc>
        <w:tc>
          <w:tcPr>
            <w:tcW w:w="1191" w:type="dxa"/>
            <w:tcBorders>
              <w:top w:val="nil"/>
              <w:left w:val="nil"/>
              <w:bottom w:val="single" w:sz="4" w:space="0" w:color="auto"/>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215</w:t>
            </w:r>
          </w:p>
        </w:tc>
        <w:tc>
          <w:tcPr>
            <w:tcW w:w="1191" w:type="dxa"/>
            <w:tcBorders>
              <w:top w:val="nil"/>
              <w:left w:val="nil"/>
              <w:bottom w:val="single" w:sz="4" w:space="0" w:color="auto"/>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188</w:t>
            </w:r>
          </w:p>
        </w:tc>
        <w:tc>
          <w:tcPr>
            <w:tcW w:w="1191" w:type="dxa"/>
            <w:tcBorders>
              <w:top w:val="nil"/>
              <w:left w:val="nil"/>
              <w:bottom w:val="single" w:sz="4" w:space="0" w:color="auto"/>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148</w:t>
            </w:r>
          </w:p>
        </w:tc>
        <w:tc>
          <w:tcPr>
            <w:tcW w:w="1191" w:type="dxa"/>
            <w:tcBorders>
              <w:top w:val="nil"/>
              <w:left w:val="nil"/>
              <w:bottom w:val="single" w:sz="4" w:space="0" w:color="auto"/>
              <w:right w:val="nil"/>
            </w:tcBorders>
            <w:shd w:val="clear" w:color="auto" w:fill="auto"/>
            <w:vAlign w:val="bottom"/>
            <w:hideMark/>
          </w:tcPr>
          <w:p w:rsidR="00616F95" w:rsidRPr="00616F95" w:rsidRDefault="00616F95" w:rsidP="00704438">
            <w:pPr>
              <w:spacing w:after="0" w:line="240" w:lineRule="auto"/>
              <w:jc w:val="center"/>
              <w:rPr>
                <w:rFonts w:ascii="Times New Roman" w:eastAsia="Times New Roman" w:hAnsi="Times New Roman" w:cs="Times New Roman"/>
                <w:color w:val="000000"/>
                <w:sz w:val="20"/>
                <w:szCs w:val="20"/>
                <w:lang w:eastAsia="en-ZA"/>
              </w:rPr>
            </w:pPr>
            <w:r w:rsidRPr="00616F95">
              <w:rPr>
                <w:rFonts w:ascii="Times New Roman" w:eastAsia="Times New Roman" w:hAnsi="Times New Roman" w:cs="Times New Roman"/>
                <w:color w:val="000000"/>
                <w:sz w:val="20"/>
                <w:szCs w:val="20"/>
                <w:lang w:eastAsia="en-ZA"/>
              </w:rPr>
              <w:t>72</w:t>
            </w:r>
          </w:p>
        </w:tc>
      </w:tr>
    </w:tbl>
    <w:p w:rsidR="00616F95" w:rsidRPr="00616F95" w:rsidRDefault="00616F95" w:rsidP="00616F95">
      <w:pPr>
        <w:pStyle w:val="BasicParagraph"/>
        <w:ind w:firstLine="227"/>
        <w:jc w:val="both"/>
        <w:rPr>
          <w:rFonts w:ascii="Times New Roman" w:hAnsi="Times New Roman" w:cs="Times New Roman"/>
          <w:sz w:val="22"/>
          <w:szCs w:val="22"/>
        </w:rPr>
      </w:pPr>
    </w:p>
    <w:p w:rsidR="00616F95" w:rsidRPr="00616F95" w:rsidRDefault="00616F95" w:rsidP="00616F95">
      <w:pPr>
        <w:pStyle w:val="BasicParagraph"/>
        <w:ind w:firstLine="227"/>
        <w:jc w:val="both"/>
        <w:rPr>
          <w:rFonts w:ascii="Times New Roman" w:hAnsi="Times New Roman" w:cs="Times New Roman"/>
          <w:sz w:val="22"/>
          <w:szCs w:val="22"/>
        </w:rPr>
      </w:pPr>
    </w:p>
    <w:p w:rsidR="00616F95" w:rsidRDefault="00616F95" w:rsidP="00616F95">
      <w:pPr>
        <w:pStyle w:val="BasicParagraph"/>
        <w:ind w:firstLine="227"/>
        <w:jc w:val="both"/>
        <w:rPr>
          <w:rFonts w:ascii="Arial" w:hAnsi="Arial" w:cs="Arial"/>
          <w:sz w:val="16"/>
          <w:szCs w:val="16"/>
        </w:rPr>
      </w:pPr>
    </w:p>
    <w:p w:rsidR="00616F95" w:rsidRDefault="00616F95" w:rsidP="00616F95">
      <w:pPr>
        <w:jc w:val="both"/>
        <w:rPr>
          <w:rFonts w:ascii="Times New Roman" w:hAnsi="Times New Roman" w:cs="Times New Roman"/>
        </w:rPr>
      </w:pPr>
    </w:p>
    <w:p w:rsidR="00616F95" w:rsidRDefault="00616F95" w:rsidP="00616F95">
      <w:pPr>
        <w:jc w:val="both"/>
        <w:rPr>
          <w:rFonts w:ascii="Times New Roman" w:hAnsi="Times New Roman" w:cs="Times New Roman"/>
        </w:rPr>
      </w:pPr>
    </w:p>
    <w:p w:rsidR="00616F95" w:rsidRDefault="00616F95" w:rsidP="00616F95">
      <w:pPr>
        <w:jc w:val="both"/>
        <w:rPr>
          <w:rFonts w:ascii="Times New Roman" w:hAnsi="Times New Roman" w:cs="Times New Roman"/>
        </w:rPr>
      </w:pPr>
    </w:p>
    <w:p w:rsidR="00616F95" w:rsidRPr="00616F95" w:rsidRDefault="00616F95" w:rsidP="00616F95">
      <w:pPr>
        <w:pStyle w:val="BasicParagraph"/>
        <w:jc w:val="both"/>
        <w:rPr>
          <w:rFonts w:ascii="Times New Roman" w:hAnsi="Times New Roman" w:cs="Times New Roman"/>
          <w:b/>
          <w:bCs/>
          <w:sz w:val="22"/>
          <w:szCs w:val="22"/>
        </w:rPr>
      </w:pPr>
      <w:r w:rsidRPr="00616F95">
        <w:rPr>
          <w:rFonts w:ascii="Times New Roman" w:hAnsi="Times New Roman" w:cs="Times New Roman"/>
          <w:b/>
          <w:bCs/>
          <w:sz w:val="22"/>
          <w:szCs w:val="22"/>
        </w:rPr>
        <w:lastRenderedPageBreak/>
        <w:t>Further Reading</w:t>
      </w:r>
    </w:p>
    <w:p w:rsidR="00616F95" w:rsidRPr="00616F95" w:rsidRDefault="00616F95" w:rsidP="00616F95">
      <w:pPr>
        <w:pStyle w:val="BasicParagraph"/>
        <w:ind w:firstLine="227"/>
        <w:jc w:val="both"/>
        <w:rPr>
          <w:rFonts w:ascii="Times New Roman" w:hAnsi="Times New Roman" w:cs="Times New Roman"/>
          <w:b/>
          <w:bCs/>
          <w:sz w:val="22"/>
          <w:szCs w:val="22"/>
        </w:rPr>
      </w:pPr>
    </w:p>
    <w:p w:rsidR="00616F95" w:rsidRPr="00616F95" w:rsidRDefault="00616F95" w:rsidP="00616F95">
      <w:pPr>
        <w:pStyle w:val="BasicParagraph"/>
        <w:ind w:left="432" w:hanging="432"/>
        <w:jc w:val="both"/>
        <w:rPr>
          <w:rFonts w:ascii="Times New Roman" w:hAnsi="Times New Roman" w:cs="Times New Roman"/>
          <w:sz w:val="22"/>
          <w:szCs w:val="22"/>
        </w:rPr>
      </w:pPr>
      <w:r w:rsidRPr="00616F95">
        <w:rPr>
          <w:rFonts w:ascii="Times New Roman" w:hAnsi="Times New Roman" w:cs="Times New Roman"/>
          <w:sz w:val="22"/>
          <w:szCs w:val="22"/>
        </w:rPr>
        <w:t xml:space="preserve">Attwood CJ, Booth T, </w:t>
      </w:r>
      <w:proofErr w:type="spellStart"/>
      <w:r w:rsidRPr="00616F95">
        <w:rPr>
          <w:rFonts w:ascii="Times New Roman" w:hAnsi="Times New Roman" w:cs="Times New Roman"/>
          <w:sz w:val="22"/>
          <w:szCs w:val="22"/>
        </w:rPr>
        <w:t>Kerwath</w:t>
      </w:r>
      <w:proofErr w:type="spellEnd"/>
      <w:r w:rsidRPr="00616F95">
        <w:rPr>
          <w:rFonts w:ascii="Times New Roman" w:hAnsi="Times New Roman" w:cs="Times New Roman"/>
          <w:sz w:val="22"/>
          <w:szCs w:val="22"/>
        </w:rPr>
        <w:t xml:space="preserve"> S, Mann B, Marr S, </w:t>
      </w:r>
      <w:proofErr w:type="spellStart"/>
      <w:r w:rsidRPr="00616F95">
        <w:rPr>
          <w:rFonts w:ascii="Times New Roman" w:hAnsi="Times New Roman" w:cs="Times New Roman"/>
          <w:sz w:val="22"/>
          <w:szCs w:val="22"/>
        </w:rPr>
        <w:t>Bonthuys</w:t>
      </w:r>
      <w:proofErr w:type="spellEnd"/>
      <w:r w:rsidRPr="00616F95">
        <w:rPr>
          <w:rFonts w:ascii="Times New Roman" w:hAnsi="Times New Roman" w:cs="Times New Roman"/>
          <w:sz w:val="22"/>
          <w:szCs w:val="22"/>
        </w:rPr>
        <w:t xml:space="preserve"> J, Duncan J, Potts W (</w:t>
      </w:r>
      <w:proofErr w:type="spellStart"/>
      <w:r w:rsidRPr="00616F95">
        <w:rPr>
          <w:rFonts w:ascii="Times New Roman" w:hAnsi="Times New Roman" w:cs="Times New Roman"/>
          <w:sz w:val="22"/>
          <w:szCs w:val="22"/>
        </w:rPr>
        <w:t>eds</w:t>
      </w:r>
      <w:proofErr w:type="spellEnd"/>
      <w:r w:rsidRPr="00616F95">
        <w:rPr>
          <w:rFonts w:ascii="Times New Roman" w:hAnsi="Times New Roman" w:cs="Times New Roman"/>
          <w:sz w:val="22"/>
          <w:szCs w:val="22"/>
        </w:rPr>
        <w:t>). 2013. A decade after the emergency. WWF South Africa Report Series - 2013/Marine/001. Cape Town: WWF. 288 pp</w:t>
      </w:r>
    </w:p>
    <w:p w:rsidR="00616F95" w:rsidRPr="00616F95" w:rsidRDefault="00616F95" w:rsidP="00616F95">
      <w:pPr>
        <w:pStyle w:val="BasicParagraph"/>
        <w:ind w:left="432" w:hanging="432"/>
        <w:jc w:val="both"/>
        <w:rPr>
          <w:rFonts w:ascii="Times New Roman" w:hAnsi="Times New Roman" w:cs="Times New Roman"/>
          <w:sz w:val="22"/>
          <w:szCs w:val="22"/>
        </w:rPr>
      </w:pPr>
      <w:proofErr w:type="spellStart"/>
      <w:r w:rsidRPr="00616F95">
        <w:rPr>
          <w:rFonts w:ascii="Times New Roman" w:hAnsi="Times New Roman" w:cs="Times New Roman"/>
          <w:sz w:val="22"/>
          <w:szCs w:val="22"/>
        </w:rPr>
        <w:t>Kerwath</w:t>
      </w:r>
      <w:proofErr w:type="spellEnd"/>
      <w:r w:rsidRPr="00616F95">
        <w:rPr>
          <w:rFonts w:ascii="Times New Roman" w:hAnsi="Times New Roman" w:cs="Times New Roman"/>
          <w:sz w:val="22"/>
          <w:szCs w:val="22"/>
        </w:rPr>
        <w:t xml:space="preserve"> SE, Winker H, </w:t>
      </w:r>
      <w:proofErr w:type="spellStart"/>
      <w:r w:rsidRPr="00616F95">
        <w:rPr>
          <w:rFonts w:ascii="Times New Roman" w:hAnsi="Times New Roman" w:cs="Times New Roman"/>
          <w:sz w:val="22"/>
          <w:szCs w:val="22"/>
        </w:rPr>
        <w:t>Götz</w:t>
      </w:r>
      <w:proofErr w:type="spellEnd"/>
      <w:r w:rsidRPr="00616F95">
        <w:rPr>
          <w:rFonts w:ascii="Times New Roman" w:hAnsi="Times New Roman" w:cs="Times New Roman"/>
          <w:sz w:val="22"/>
          <w:szCs w:val="22"/>
        </w:rPr>
        <w:t xml:space="preserve"> A, Attwood CG. 2013. Marine protected area improves yield without disadvantaging fishers. </w:t>
      </w:r>
      <w:r w:rsidRPr="00616F95">
        <w:rPr>
          <w:rFonts w:ascii="Times New Roman" w:hAnsi="Times New Roman" w:cs="Times New Roman"/>
          <w:i/>
          <w:iCs/>
          <w:sz w:val="22"/>
          <w:szCs w:val="22"/>
        </w:rPr>
        <w:t>Nature Communications</w:t>
      </w:r>
      <w:r w:rsidRPr="00616F95">
        <w:rPr>
          <w:rFonts w:ascii="Times New Roman" w:hAnsi="Times New Roman" w:cs="Times New Roman"/>
          <w:sz w:val="22"/>
          <w:szCs w:val="22"/>
        </w:rPr>
        <w:t xml:space="preserve"> 4: 2347.</w:t>
      </w:r>
    </w:p>
    <w:p w:rsidR="00616F95" w:rsidRPr="00616F95" w:rsidRDefault="00616F95" w:rsidP="00616F95">
      <w:pPr>
        <w:pStyle w:val="BasicParagraph"/>
        <w:ind w:left="432" w:hanging="432"/>
        <w:jc w:val="both"/>
        <w:rPr>
          <w:rFonts w:ascii="Times New Roman" w:hAnsi="Times New Roman" w:cs="Times New Roman"/>
          <w:sz w:val="22"/>
          <w:szCs w:val="22"/>
        </w:rPr>
      </w:pPr>
      <w:r w:rsidRPr="00616F95">
        <w:rPr>
          <w:rFonts w:ascii="Times New Roman" w:hAnsi="Times New Roman" w:cs="Times New Roman"/>
          <w:sz w:val="22"/>
          <w:szCs w:val="22"/>
        </w:rPr>
        <w:t>Mann BQ (</w:t>
      </w:r>
      <w:proofErr w:type="spellStart"/>
      <w:r w:rsidRPr="00616F95">
        <w:rPr>
          <w:rFonts w:ascii="Times New Roman" w:hAnsi="Times New Roman" w:cs="Times New Roman"/>
          <w:sz w:val="22"/>
          <w:szCs w:val="22"/>
        </w:rPr>
        <w:t>ed</w:t>
      </w:r>
      <w:proofErr w:type="spellEnd"/>
      <w:r w:rsidRPr="00616F95">
        <w:rPr>
          <w:rFonts w:ascii="Times New Roman" w:hAnsi="Times New Roman" w:cs="Times New Roman"/>
          <w:sz w:val="22"/>
          <w:szCs w:val="22"/>
        </w:rPr>
        <w:t xml:space="preserve">). 2013 South African Marine </w:t>
      </w:r>
      <w:proofErr w:type="spellStart"/>
      <w:r w:rsidRPr="00616F95">
        <w:rPr>
          <w:rFonts w:ascii="Times New Roman" w:hAnsi="Times New Roman" w:cs="Times New Roman"/>
          <w:sz w:val="22"/>
          <w:szCs w:val="22"/>
        </w:rPr>
        <w:t>Linefish</w:t>
      </w:r>
      <w:proofErr w:type="spellEnd"/>
      <w:r w:rsidRPr="00616F95">
        <w:rPr>
          <w:rFonts w:ascii="Times New Roman" w:hAnsi="Times New Roman" w:cs="Times New Roman"/>
          <w:sz w:val="22"/>
          <w:szCs w:val="22"/>
        </w:rPr>
        <w:t xml:space="preserve"> Species Profiles, Oceanographic Research Institute, Special Publication No 9. Published by South African Association of Marine Biological Research, Durban, 357 pp.</w:t>
      </w:r>
    </w:p>
    <w:p w:rsidR="00616F95" w:rsidRPr="00616F95" w:rsidRDefault="00616F95" w:rsidP="00616F95">
      <w:pPr>
        <w:pStyle w:val="BasicParagraph"/>
        <w:ind w:left="432" w:hanging="432"/>
        <w:jc w:val="both"/>
        <w:rPr>
          <w:rFonts w:ascii="Times New Roman" w:hAnsi="Times New Roman" w:cs="Times New Roman"/>
          <w:sz w:val="22"/>
          <w:szCs w:val="22"/>
        </w:rPr>
      </w:pPr>
      <w:r w:rsidRPr="00616F95">
        <w:rPr>
          <w:rFonts w:ascii="Times New Roman" w:hAnsi="Times New Roman" w:cs="Times New Roman"/>
          <w:sz w:val="22"/>
          <w:szCs w:val="22"/>
        </w:rPr>
        <w:t xml:space="preserve">Parker D, </w:t>
      </w:r>
      <w:proofErr w:type="spellStart"/>
      <w:r w:rsidRPr="00616F95">
        <w:rPr>
          <w:rFonts w:ascii="Times New Roman" w:hAnsi="Times New Roman" w:cs="Times New Roman"/>
          <w:sz w:val="22"/>
          <w:szCs w:val="22"/>
        </w:rPr>
        <w:t>Kerwath</w:t>
      </w:r>
      <w:proofErr w:type="spellEnd"/>
      <w:r w:rsidRPr="00616F95">
        <w:rPr>
          <w:rFonts w:ascii="Times New Roman" w:hAnsi="Times New Roman" w:cs="Times New Roman"/>
          <w:sz w:val="22"/>
          <w:szCs w:val="22"/>
        </w:rPr>
        <w:t xml:space="preserve"> S, </w:t>
      </w:r>
      <w:proofErr w:type="spellStart"/>
      <w:r w:rsidRPr="00616F95">
        <w:rPr>
          <w:rFonts w:ascii="Times New Roman" w:hAnsi="Times New Roman" w:cs="Times New Roman"/>
          <w:sz w:val="22"/>
          <w:szCs w:val="22"/>
        </w:rPr>
        <w:t>Næsje</w:t>
      </w:r>
      <w:proofErr w:type="spellEnd"/>
      <w:r w:rsidRPr="00616F95">
        <w:rPr>
          <w:rFonts w:ascii="Times New Roman" w:hAnsi="Times New Roman" w:cs="Times New Roman"/>
          <w:sz w:val="22"/>
          <w:szCs w:val="22"/>
        </w:rPr>
        <w:t xml:space="preserve"> T, Arendse C, </w:t>
      </w:r>
      <w:proofErr w:type="spellStart"/>
      <w:r w:rsidRPr="00616F95">
        <w:rPr>
          <w:rFonts w:ascii="Times New Roman" w:hAnsi="Times New Roman" w:cs="Times New Roman"/>
          <w:sz w:val="22"/>
          <w:szCs w:val="22"/>
        </w:rPr>
        <w:t>Keulder-Stenevik</w:t>
      </w:r>
      <w:proofErr w:type="spellEnd"/>
      <w:r w:rsidRPr="00616F95">
        <w:rPr>
          <w:rFonts w:ascii="Times New Roman" w:hAnsi="Times New Roman" w:cs="Times New Roman"/>
          <w:sz w:val="22"/>
          <w:szCs w:val="22"/>
        </w:rPr>
        <w:t xml:space="preserve"> F, Hutchings K, Clark B, Winker H, </w:t>
      </w:r>
      <w:proofErr w:type="spellStart"/>
      <w:r w:rsidRPr="00616F95">
        <w:rPr>
          <w:rFonts w:ascii="Times New Roman" w:hAnsi="Times New Roman" w:cs="Times New Roman"/>
          <w:sz w:val="22"/>
          <w:szCs w:val="22"/>
        </w:rPr>
        <w:t>Cowley</w:t>
      </w:r>
      <w:proofErr w:type="spellEnd"/>
      <w:r w:rsidRPr="00616F95">
        <w:rPr>
          <w:rFonts w:ascii="Times New Roman" w:hAnsi="Times New Roman" w:cs="Times New Roman"/>
          <w:sz w:val="22"/>
          <w:szCs w:val="22"/>
        </w:rPr>
        <w:t xml:space="preserve"> PDP, Attwood CG. 2017. When plenty is not enough: an assessment of the white </w:t>
      </w:r>
      <w:proofErr w:type="spellStart"/>
      <w:r w:rsidRPr="00616F95">
        <w:rPr>
          <w:rFonts w:ascii="Times New Roman" w:hAnsi="Times New Roman" w:cs="Times New Roman"/>
          <w:sz w:val="22"/>
          <w:szCs w:val="22"/>
        </w:rPr>
        <w:t>stumpnose</w:t>
      </w:r>
      <w:proofErr w:type="spellEnd"/>
      <w:r w:rsidRPr="00616F95">
        <w:rPr>
          <w:rFonts w:ascii="Times New Roman" w:hAnsi="Times New Roman" w:cs="Times New Roman"/>
          <w:sz w:val="22"/>
          <w:szCs w:val="22"/>
        </w:rPr>
        <w:t xml:space="preserve"> (</w:t>
      </w:r>
      <w:proofErr w:type="spellStart"/>
      <w:r w:rsidRPr="00616F95">
        <w:rPr>
          <w:rFonts w:ascii="Times New Roman" w:hAnsi="Times New Roman" w:cs="Times New Roman"/>
          <w:i/>
          <w:sz w:val="22"/>
          <w:szCs w:val="22"/>
        </w:rPr>
        <w:t>Rhabdosargus</w:t>
      </w:r>
      <w:proofErr w:type="spellEnd"/>
      <w:r w:rsidRPr="00616F95">
        <w:rPr>
          <w:rFonts w:ascii="Times New Roman" w:hAnsi="Times New Roman" w:cs="Times New Roman"/>
          <w:i/>
          <w:sz w:val="22"/>
          <w:szCs w:val="22"/>
        </w:rPr>
        <w:t xml:space="preserve"> </w:t>
      </w:r>
      <w:proofErr w:type="spellStart"/>
      <w:r w:rsidRPr="00616F95">
        <w:rPr>
          <w:rFonts w:ascii="Times New Roman" w:hAnsi="Times New Roman" w:cs="Times New Roman"/>
          <w:i/>
          <w:sz w:val="22"/>
          <w:szCs w:val="22"/>
        </w:rPr>
        <w:t>globiceps</w:t>
      </w:r>
      <w:proofErr w:type="spellEnd"/>
      <w:r w:rsidRPr="00616F95">
        <w:rPr>
          <w:rFonts w:ascii="Times New Roman" w:hAnsi="Times New Roman" w:cs="Times New Roman"/>
          <w:sz w:val="22"/>
          <w:szCs w:val="22"/>
        </w:rPr>
        <w:t xml:space="preserve">) fishery of Saldanha Bay, South Africa. </w:t>
      </w:r>
      <w:r w:rsidRPr="00616F95">
        <w:rPr>
          <w:rFonts w:ascii="Times New Roman" w:hAnsi="Times New Roman" w:cs="Times New Roman"/>
          <w:i/>
          <w:sz w:val="22"/>
          <w:szCs w:val="22"/>
        </w:rPr>
        <w:t>African Journal of Marine Science</w:t>
      </w:r>
      <w:r w:rsidRPr="00616F95">
        <w:rPr>
          <w:rFonts w:ascii="Times New Roman" w:hAnsi="Times New Roman" w:cs="Times New Roman"/>
          <w:sz w:val="22"/>
          <w:szCs w:val="22"/>
        </w:rPr>
        <w:t xml:space="preserve"> 39: 153–166.</w:t>
      </w:r>
    </w:p>
    <w:p w:rsidR="00616F95" w:rsidRPr="00616F95" w:rsidRDefault="00616F95" w:rsidP="00616F95">
      <w:pPr>
        <w:pStyle w:val="BasicParagraph"/>
        <w:ind w:left="432" w:hanging="432"/>
        <w:jc w:val="both"/>
        <w:rPr>
          <w:rFonts w:ascii="Times New Roman" w:hAnsi="Times New Roman" w:cs="Times New Roman"/>
          <w:sz w:val="22"/>
          <w:szCs w:val="22"/>
        </w:rPr>
      </w:pPr>
      <w:r w:rsidRPr="00616F95">
        <w:rPr>
          <w:rFonts w:ascii="Times New Roman" w:hAnsi="Times New Roman" w:cs="Times New Roman"/>
          <w:sz w:val="22"/>
          <w:szCs w:val="22"/>
        </w:rPr>
        <w:t xml:space="preserve">Parker D, Winker H, Attwood CG, </w:t>
      </w:r>
      <w:proofErr w:type="spellStart"/>
      <w:r w:rsidRPr="00616F95">
        <w:rPr>
          <w:rFonts w:ascii="Times New Roman" w:hAnsi="Times New Roman" w:cs="Times New Roman"/>
          <w:sz w:val="22"/>
          <w:szCs w:val="22"/>
        </w:rPr>
        <w:t>Kerwath</w:t>
      </w:r>
      <w:proofErr w:type="spellEnd"/>
      <w:r w:rsidRPr="00616F95">
        <w:rPr>
          <w:rFonts w:ascii="Times New Roman" w:hAnsi="Times New Roman" w:cs="Times New Roman"/>
          <w:sz w:val="22"/>
          <w:szCs w:val="22"/>
        </w:rPr>
        <w:t xml:space="preserve"> SE. 2016. Dark times for </w:t>
      </w:r>
      <w:proofErr w:type="spellStart"/>
      <w:r w:rsidRPr="00616F95">
        <w:rPr>
          <w:rFonts w:ascii="Times New Roman" w:hAnsi="Times New Roman" w:cs="Times New Roman"/>
          <w:sz w:val="22"/>
          <w:szCs w:val="22"/>
        </w:rPr>
        <w:t>dageraad</w:t>
      </w:r>
      <w:proofErr w:type="spellEnd"/>
      <w:r w:rsidRPr="00616F95">
        <w:rPr>
          <w:rFonts w:ascii="Times New Roman" w:hAnsi="Times New Roman" w:cs="Times New Roman"/>
          <w:sz w:val="22"/>
          <w:szCs w:val="22"/>
        </w:rPr>
        <w:t xml:space="preserve"> </w:t>
      </w:r>
      <w:proofErr w:type="spellStart"/>
      <w:r w:rsidRPr="00616F95">
        <w:rPr>
          <w:rFonts w:ascii="Times New Roman" w:hAnsi="Times New Roman" w:cs="Times New Roman"/>
          <w:i/>
          <w:sz w:val="22"/>
          <w:szCs w:val="22"/>
        </w:rPr>
        <w:t>Chrysoblephus</w:t>
      </w:r>
      <w:proofErr w:type="spellEnd"/>
      <w:r w:rsidRPr="00616F95">
        <w:rPr>
          <w:rFonts w:ascii="Times New Roman" w:hAnsi="Times New Roman" w:cs="Times New Roman"/>
          <w:i/>
          <w:sz w:val="22"/>
          <w:szCs w:val="22"/>
        </w:rPr>
        <w:t xml:space="preserve"> </w:t>
      </w:r>
      <w:proofErr w:type="spellStart"/>
      <w:proofErr w:type="gramStart"/>
      <w:r w:rsidRPr="00616F95">
        <w:rPr>
          <w:rFonts w:ascii="Times New Roman" w:hAnsi="Times New Roman" w:cs="Times New Roman"/>
          <w:i/>
          <w:sz w:val="22"/>
          <w:szCs w:val="22"/>
        </w:rPr>
        <w:t>cristiceps</w:t>
      </w:r>
      <w:proofErr w:type="spellEnd"/>
      <w:r w:rsidRPr="00616F95">
        <w:rPr>
          <w:rFonts w:ascii="Times New Roman" w:hAnsi="Times New Roman" w:cs="Times New Roman"/>
          <w:i/>
          <w:sz w:val="22"/>
          <w:szCs w:val="22"/>
        </w:rPr>
        <w:t> </w:t>
      </w:r>
      <w:r w:rsidRPr="00616F95">
        <w:rPr>
          <w:rFonts w:ascii="Times New Roman" w:hAnsi="Times New Roman" w:cs="Times New Roman"/>
          <w:sz w:val="22"/>
          <w:szCs w:val="22"/>
        </w:rPr>
        <w:t>:</w:t>
      </w:r>
      <w:proofErr w:type="gramEnd"/>
      <w:r w:rsidRPr="00616F95">
        <w:rPr>
          <w:rFonts w:ascii="Times New Roman" w:hAnsi="Times New Roman" w:cs="Times New Roman"/>
          <w:sz w:val="22"/>
          <w:szCs w:val="22"/>
        </w:rPr>
        <w:t xml:space="preserve"> evidence for stock collapse. </w:t>
      </w:r>
      <w:r w:rsidRPr="00616F95">
        <w:rPr>
          <w:rFonts w:ascii="Times New Roman" w:hAnsi="Times New Roman" w:cs="Times New Roman"/>
          <w:i/>
          <w:sz w:val="22"/>
          <w:szCs w:val="22"/>
        </w:rPr>
        <w:t>African Journal of Marine Science</w:t>
      </w:r>
      <w:r w:rsidRPr="00616F95">
        <w:rPr>
          <w:rFonts w:ascii="Times New Roman" w:hAnsi="Times New Roman" w:cs="Times New Roman"/>
          <w:sz w:val="22"/>
          <w:szCs w:val="22"/>
        </w:rPr>
        <w:t xml:space="preserve"> 38: 341–349.</w:t>
      </w:r>
    </w:p>
    <w:p w:rsidR="00616F95" w:rsidRPr="00616F95" w:rsidRDefault="00616F95" w:rsidP="00616F95">
      <w:pPr>
        <w:pStyle w:val="BasicParagraph"/>
        <w:ind w:left="450" w:hanging="450"/>
        <w:jc w:val="both"/>
        <w:rPr>
          <w:rFonts w:ascii="Times New Roman" w:hAnsi="Times New Roman" w:cs="Times New Roman"/>
          <w:sz w:val="22"/>
          <w:szCs w:val="22"/>
        </w:rPr>
      </w:pPr>
      <w:r w:rsidRPr="00616F95">
        <w:rPr>
          <w:rFonts w:ascii="Times New Roman" w:hAnsi="Times New Roman" w:cs="Times New Roman"/>
          <w:sz w:val="22"/>
          <w:szCs w:val="22"/>
        </w:rPr>
        <w:t xml:space="preserve">Winker H, Attwood CG, </w:t>
      </w:r>
      <w:proofErr w:type="spellStart"/>
      <w:r w:rsidRPr="00616F95">
        <w:rPr>
          <w:rFonts w:ascii="Times New Roman" w:hAnsi="Times New Roman" w:cs="Times New Roman"/>
          <w:sz w:val="22"/>
          <w:szCs w:val="22"/>
        </w:rPr>
        <w:t>Kerwath</w:t>
      </w:r>
      <w:proofErr w:type="spellEnd"/>
      <w:r w:rsidRPr="00616F95">
        <w:rPr>
          <w:rFonts w:ascii="Times New Roman" w:hAnsi="Times New Roman" w:cs="Times New Roman"/>
          <w:sz w:val="22"/>
          <w:szCs w:val="22"/>
        </w:rPr>
        <w:t xml:space="preserve"> SE. Assessment of stock abundance of inshore fish resources included in the basket of species to be allocated under the small-scale fisheries policy. </w:t>
      </w:r>
      <w:proofErr w:type="spellStart"/>
      <w:r w:rsidRPr="00616F95">
        <w:rPr>
          <w:rFonts w:ascii="Times New Roman" w:hAnsi="Times New Roman" w:cs="Times New Roman"/>
          <w:sz w:val="22"/>
          <w:szCs w:val="22"/>
        </w:rPr>
        <w:t>Linefish</w:t>
      </w:r>
      <w:proofErr w:type="spellEnd"/>
      <w:r w:rsidRPr="00616F95">
        <w:rPr>
          <w:rFonts w:ascii="Times New Roman" w:hAnsi="Times New Roman" w:cs="Times New Roman"/>
          <w:sz w:val="22"/>
          <w:szCs w:val="22"/>
        </w:rPr>
        <w:t xml:space="preserve"> Scientific Working Group Report. LSWG Jan 2015/1. 69 pp.</w:t>
      </w:r>
    </w:p>
    <w:p w:rsidR="00616F95" w:rsidRPr="00616F95" w:rsidRDefault="00616F95" w:rsidP="00616F95">
      <w:pPr>
        <w:pStyle w:val="BasicParagraph"/>
        <w:ind w:firstLine="227"/>
        <w:jc w:val="both"/>
        <w:rPr>
          <w:rFonts w:ascii="Times New Roman" w:hAnsi="Times New Roman" w:cs="Times New Roman"/>
          <w:sz w:val="22"/>
          <w:szCs w:val="22"/>
        </w:rPr>
      </w:pPr>
    </w:p>
    <w:p w:rsidR="00616F95" w:rsidRDefault="00616F95" w:rsidP="00616F95">
      <w:pPr>
        <w:jc w:val="both"/>
        <w:rPr>
          <w:rFonts w:ascii="Times New Roman" w:hAnsi="Times New Roman" w:cs="Times New Roman"/>
        </w:rPr>
      </w:pPr>
    </w:p>
    <w:p w:rsidR="006764AC" w:rsidRDefault="006764AC" w:rsidP="00616F95">
      <w:pPr>
        <w:jc w:val="both"/>
        <w:rPr>
          <w:rFonts w:ascii="Times New Roman" w:hAnsi="Times New Roman" w:cs="Times New Roman"/>
        </w:rPr>
      </w:pPr>
    </w:p>
    <w:p w:rsidR="006764AC" w:rsidRDefault="006764AC" w:rsidP="00616F95">
      <w:pPr>
        <w:jc w:val="both"/>
        <w:rPr>
          <w:rFonts w:ascii="Times New Roman" w:hAnsi="Times New Roman" w:cs="Times New Roman"/>
        </w:rPr>
      </w:pPr>
    </w:p>
    <w:p w:rsidR="006764AC" w:rsidRDefault="006764AC" w:rsidP="00616F95">
      <w:pPr>
        <w:jc w:val="both"/>
        <w:rPr>
          <w:rFonts w:ascii="Times New Roman" w:hAnsi="Times New Roman" w:cs="Times New Roman"/>
        </w:rPr>
      </w:pPr>
    </w:p>
    <w:p w:rsidR="006764AC" w:rsidRDefault="006764AC">
      <w:pPr>
        <w:rPr>
          <w:rFonts w:ascii="Times New Roman" w:hAnsi="Times New Roman" w:cs="Times New Roman"/>
        </w:rPr>
      </w:pPr>
      <w:r>
        <w:rPr>
          <w:rFonts w:ascii="Times New Roman" w:hAnsi="Times New Roman" w:cs="Times New Roman"/>
        </w:rPr>
        <w:br w:type="page"/>
      </w:r>
    </w:p>
    <w:p w:rsidR="006764AC" w:rsidRPr="00616F95" w:rsidRDefault="006764AC" w:rsidP="00616F95">
      <w:pPr>
        <w:jc w:val="both"/>
        <w:rPr>
          <w:rFonts w:ascii="Times New Roman" w:hAnsi="Times New Roman" w:cs="Times New Roman"/>
        </w:rPr>
      </w:pPr>
      <w:bookmarkStart w:id="0" w:name="_GoBack"/>
      <w:bookmarkEnd w:id="0"/>
    </w:p>
    <w:sectPr w:rsidR="006764AC" w:rsidRPr="00616F95" w:rsidSect="00CE6501">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D33" w:rsidRDefault="00FD5D33" w:rsidP="00950B05">
      <w:pPr>
        <w:spacing w:after="0" w:line="240" w:lineRule="auto"/>
      </w:pPr>
      <w:r>
        <w:separator/>
      </w:r>
    </w:p>
  </w:endnote>
  <w:endnote w:type="continuationSeparator" w:id="0">
    <w:p w:rsidR="00FD5D33" w:rsidRDefault="00FD5D33" w:rsidP="00950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420104"/>
      <w:docPartObj>
        <w:docPartGallery w:val="Page Numbers (Bottom of Page)"/>
        <w:docPartUnique/>
      </w:docPartObj>
    </w:sdtPr>
    <w:sdtEndPr>
      <w:rPr>
        <w:noProof/>
      </w:rPr>
    </w:sdtEndPr>
    <w:sdtContent>
      <w:p w:rsidR="00950B05" w:rsidRDefault="00950B05">
        <w:pPr>
          <w:pStyle w:val="Footer"/>
          <w:jc w:val="right"/>
        </w:pPr>
        <w:r>
          <w:fldChar w:fldCharType="begin"/>
        </w:r>
        <w:r>
          <w:instrText xml:space="preserve"> PAGE   \* MERGEFORMAT </w:instrText>
        </w:r>
        <w:r>
          <w:fldChar w:fldCharType="separate"/>
        </w:r>
        <w:r w:rsidR="002524AF">
          <w:rPr>
            <w:noProof/>
          </w:rPr>
          <w:t>1</w:t>
        </w:r>
        <w:r>
          <w:rPr>
            <w:noProof/>
          </w:rPr>
          <w:fldChar w:fldCharType="end"/>
        </w:r>
      </w:p>
    </w:sdtContent>
  </w:sdt>
  <w:p w:rsidR="00950B05" w:rsidRDefault="00950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D33" w:rsidRDefault="00FD5D33" w:rsidP="00950B05">
      <w:pPr>
        <w:spacing w:after="0" w:line="240" w:lineRule="auto"/>
      </w:pPr>
      <w:r>
        <w:separator/>
      </w:r>
    </w:p>
  </w:footnote>
  <w:footnote w:type="continuationSeparator" w:id="0">
    <w:p w:rsidR="00FD5D33" w:rsidRDefault="00FD5D33" w:rsidP="00950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FA" w:rsidRDefault="00941BFA" w:rsidP="00941BFA">
    <w:pPr>
      <w:pStyle w:val="Header"/>
      <w:jc w:val="right"/>
    </w:pPr>
    <w:r>
      <w:t>MARAM/IWS2018/</w:t>
    </w:r>
    <w:proofErr w:type="spellStart"/>
    <w:r>
      <w:t>Linefish</w:t>
    </w:r>
    <w:proofErr w:type="spellEnd"/>
    <w:r>
      <w:t>/BG1</w:t>
    </w:r>
  </w:p>
  <w:p w:rsidR="00941BFA" w:rsidRDefault="00941B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0C"/>
    <w:rsid w:val="0006173F"/>
    <w:rsid w:val="00085705"/>
    <w:rsid w:val="001F7A25"/>
    <w:rsid w:val="002075EF"/>
    <w:rsid w:val="002524AF"/>
    <w:rsid w:val="002E3AC3"/>
    <w:rsid w:val="004204B2"/>
    <w:rsid w:val="00616F95"/>
    <w:rsid w:val="006764AC"/>
    <w:rsid w:val="00837F5C"/>
    <w:rsid w:val="00930382"/>
    <w:rsid w:val="00941BFA"/>
    <w:rsid w:val="00950B05"/>
    <w:rsid w:val="00A67F16"/>
    <w:rsid w:val="00B554EB"/>
    <w:rsid w:val="00BD41AE"/>
    <w:rsid w:val="00CE6501"/>
    <w:rsid w:val="00D34E4B"/>
    <w:rsid w:val="00DE6199"/>
    <w:rsid w:val="00E001E7"/>
    <w:rsid w:val="00F10E20"/>
    <w:rsid w:val="00FA360C"/>
    <w:rsid w:val="00FD5D3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24BD"/>
  <w15:docId w15:val="{D09AA234-9F05-47BC-BA1E-39FE2A1D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A360C"/>
    <w:pPr>
      <w:autoSpaceDE w:val="0"/>
      <w:autoSpaceDN w:val="0"/>
      <w:adjustRightInd w:val="0"/>
      <w:spacing w:after="0" w:line="288" w:lineRule="auto"/>
      <w:textAlignment w:val="center"/>
    </w:pPr>
    <w:rPr>
      <w:rFonts w:ascii="Times" w:hAnsi="Times" w:cs="Times"/>
      <w:color w:val="000000"/>
      <w:sz w:val="24"/>
      <w:szCs w:val="24"/>
      <w:lang w:val="en-GB"/>
    </w:rPr>
  </w:style>
  <w:style w:type="paragraph" w:styleId="Header">
    <w:name w:val="header"/>
    <w:basedOn w:val="Normal"/>
    <w:link w:val="HeaderChar"/>
    <w:uiPriority w:val="99"/>
    <w:unhideWhenUsed/>
    <w:rsid w:val="00950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B05"/>
  </w:style>
  <w:style w:type="paragraph" w:styleId="Footer">
    <w:name w:val="footer"/>
    <w:basedOn w:val="Normal"/>
    <w:link w:val="FooterChar"/>
    <w:uiPriority w:val="99"/>
    <w:unhideWhenUsed/>
    <w:rsid w:val="00950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B05"/>
  </w:style>
  <w:style w:type="paragraph" w:styleId="BalloonText">
    <w:name w:val="Balloon Text"/>
    <w:basedOn w:val="Normal"/>
    <w:link w:val="BalloonTextChar"/>
    <w:uiPriority w:val="99"/>
    <w:semiHidden/>
    <w:unhideWhenUsed/>
    <w:rsid w:val="00941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DenhamP</dc:creator>
  <cp:lastModifiedBy>Melissa Jacobs</cp:lastModifiedBy>
  <cp:revision>3</cp:revision>
  <dcterms:created xsi:type="dcterms:W3CDTF">2018-11-21T17:04:00Z</dcterms:created>
  <dcterms:modified xsi:type="dcterms:W3CDTF">2018-11-21T17:10:00Z</dcterms:modified>
</cp:coreProperties>
</file>