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3210" w14:textId="26738FDD" w:rsidR="005A3591" w:rsidRDefault="00877DCF" w:rsidP="001767EF">
      <w:pPr>
        <w:pStyle w:val="Heading1"/>
      </w:pPr>
      <w:bookmarkStart w:id="0" w:name="_GoBack"/>
      <w:bookmarkEnd w:id="0"/>
      <w:r>
        <w:t>Various</w:t>
      </w:r>
      <w:r w:rsidR="0033255E">
        <w:t xml:space="preserve"> additional hake output as requested by the Panel</w:t>
      </w:r>
    </w:p>
    <w:p w14:paraId="13C87883" w14:textId="79CE9B79" w:rsidR="000123C4" w:rsidRDefault="000123C4" w:rsidP="000123C4">
      <w:pPr>
        <w:jc w:val="center"/>
        <w:rPr>
          <w:i/>
        </w:rPr>
      </w:pPr>
      <w:r>
        <w:rPr>
          <w:i/>
        </w:rPr>
        <w:t>A. Ross-Gillespie</w:t>
      </w:r>
      <w:r>
        <w:rPr>
          <w:rStyle w:val="FootnoteReference"/>
          <w:i/>
        </w:rPr>
        <w:footnoteReference w:id="1"/>
      </w:r>
    </w:p>
    <w:p w14:paraId="5330F96F" w14:textId="53E0D944" w:rsidR="000123C4" w:rsidRDefault="000123C4" w:rsidP="0009317F">
      <w:pPr>
        <w:jc w:val="center"/>
        <w:rPr>
          <w:b/>
        </w:rPr>
      </w:pPr>
      <w:r>
        <w:rPr>
          <w:i/>
        </w:rPr>
        <w:t>Email: mlland028@myuct.ac.za</w:t>
      </w:r>
    </w:p>
    <w:p w14:paraId="3B725DDC" w14:textId="73BB4EC0" w:rsidR="00124428" w:rsidRDefault="00124428" w:rsidP="00CE474B"/>
    <w:p w14:paraId="73C9217F" w14:textId="3933159D" w:rsidR="005B66D5" w:rsidRDefault="0033255E" w:rsidP="003D7277">
      <w:pPr>
        <w:jc w:val="both"/>
      </w:pPr>
      <w:r>
        <w:t>This working paper is a collection of various hake assessment outputs as requested by the Panel. These correspond to the items accorded highest priority, with more information to follow in further working papers.</w:t>
      </w:r>
    </w:p>
    <w:p w14:paraId="5BCB2390" w14:textId="1B2033C4" w:rsidR="0033255E" w:rsidRDefault="0033255E" w:rsidP="003D7277">
      <w:pPr>
        <w:pStyle w:val="ListParagraph"/>
        <w:numPr>
          <w:ilvl w:val="0"/>
          <w:numId w:val="2"/>
        </w:numPr>
        <w:contextualSpacing w:val="0"/>
        <w:jc w:val="both"/>
      </w:pPr>
      <w:r>
        <w:t>One of two major corrections that OLRAC made to the hake model in 2017 was a correction to the MSY calculation:</w:t>
      </w:r>
    </w:p>
    <w:p w14:paraId="3D6EA19F" w14:textId="516F63E4" w:rsidR="0033255E" w:rsidRPr="0033255E" w:rsidRDefault="0033255E" w:rsidP="003D7277">
      <w:pPr>
        <w:pStyle w:val="ListParagraph"/>
        <w:contextualSpacing w:val="0"/>
      </w:pPr>
      <m:oMath>
        <m:r>
          <w:rPr>
            <w:rFonts w:ascii="Cambria Math"/>
            <w:szCs w:val="20"/>
          </w:rPr>
          <m:t>C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F</m:t>
                </m:r>
              </m:e>
              <m:sup>
                <m:r>
                  <w:rPr>
                    <w:rFonts w:ascii="Cambria Math"/>
                    <w:szCs w:val="20"/>
                  </w:rPr>
                  <m:t>*</m:t>
                </m:r>
              </m:sup>
            </m:sSup>
          </m:e>
        </m:d>
        <m:r>
          <w:rPr>
            <w:rFonts w:ascii="Cambria Math"/>
            <w:szCs w:val="20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/>
                <w:szCs w:val="20"/>
              </w:rPr>
              <m:t>g</m:t>
            </m:r>
          </m:sub>
          <m:sup/>
          <m:e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  <w:szCs w:val="20"/>
                  </w:rPr>
                </m:ctrlPr>
              </m:naryPr>
              <m:sub>
                <m:r>
                  <w:rPr>
                    <w:rFonts w:ascii="Cambria Math"/>
                    <w:szCs w:val="20"/>
                  </w:rPr>
                  <m:t>a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0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Cs w:val="20"/>
                      </w:rPr>
                      <m:t>a+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Cs w:val="20"/>
                          </w:rPr>
                          <m:t>2</m:t>
                        </m:r>
                      </m:den>
                    </m:f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Cs w:val="20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/>
                        <w:szCs w:val="20"/>
                      </w:rPr>
                      <m:t>*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0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/>
                            <w:szCs w:val="20"/>
                          </w:rPr>
                          <m:t>*</m:t>
                        </m:r>
                      </m:sup>
                    </m:sSup>
                  </m:e>
                </m:d>
              </m:e>
            </m:nary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e</m:t>
                </m:r>
              </m:e>
              <m:sup>
                <m:r>
                  <w:rPr>
                    <w:rFonts w:ascii="Cambria Math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0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Cs w:val="20"/>
                              </w:rPr>
                              <m:t>g</m:t>
                            </m:r>
                          </m:sup>
                        </m:sSubSup>
                        <m:r>
                          <w:rPr>
                            <w:rFonts w:ascii="Cambria Math"/>
                            <w:szCs w:val="20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0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Cs w:val="20"/>
                              </w:rPr>
                              <m:t>g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szCs w:val="20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Cs w:val="20"/>
                              </w:rPr>
                              <m:t>*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/>
                        <w:szCs w:val="20"/>
                      </w:rPr>
                      <m:t>2</m:t>
                    </m:r>
                  </m:den>
                </m:f>
              </m:sup>
            </m:sSup>
          </m:e>
        </m:nary>
      </m:oMath>
      <w:r>
        <w:rPr>
          <w:rFonts w:eastAsiaTheme="minorEastAsia"/>
          <w:szCs w:val="20"/>
        </w:rPr>
        <w:t xml:space="preserve"> (pre-OLRAC original)</w:t>
      </w:r>
    </w:p>
    <w:p w14:paraId="65A25EA5" w14:textId="15F36292" w:rsidR="0033255E" w:rsidRDefault="0033255E" w:rsidP="003D7277">
      <w:pPr>
        <w:pStyle w:val="ListParagraph"/>
        <w:contextualSpacing w:val="0"/>
        <w:rPr>
          <w:rFonts w:eastAsiaTheme="minorEastAsia"/>
          <w:szCs w:val="20"/>
        </w:rPr>
      </w:pPr>
      <w:bookmarkStart w:id="1" w:name="_Hlk531118477"/>
      <m:oMath>
        <m:r>
          <w:rPr>
            <w:rFonts w:ascii="Cambria Math"/>
            <w:szCs w:val="20"/>
          </w:rPr>
          <m:t>C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F</m:t>
                </m:r>
              </m:e>
              <m:sup>
                <m:r>
                  <w:rPr>
                    <w:rFonts w:ascii="Cambria Math"/>
                    <w:szCs w:val="20"/>
                  </w:rPr>
                  <m:t>*</m:t>
                </m:r>
              </m:sup>
            </m:sSup>
          </m:e>
        </m:d>
        <m:r>
          <w:rPr>
            <w:rFonts w:ascii="Cambria Math"/>
            <w:szCs w:val="20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/>
                <w:szCs w:val="20"/>
              </w:rPr>
              <m:t>g</m:t>
            </m:r>
          </m:sub>
          <m:sup/>
          <m:e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  <w:szCs w:val="20"/>
                  </w:rPr>
                </m:ctrlPr>
              </m:naryPr>
              <m:sub>
                <m:r>
                  <w:rPr>
                    <w:rFonts w:ascii="Cambria Math"/>
                    <w:szCs w:val="20"/>
                  </w:rPr>
                  <m:t>a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0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Cs w:val="20"/>
                      </w:rPr>
                      <m:t>a+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Cs w:val="20"/>
                          </w:rPr>
                          <m:t>2</m:t>
                        </m:r>
                      </m:den>
                    </m:f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Cs w:val="20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/>
                        <w:szCs w:val="20"/>
                      </w:rPr>
                      <m:t>*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0"/>
                      </w:rPr>
                      <m:t>a</m:t>
                    </m:r>
                  </m:sub>
                  <m:sup>
                    <m:r>
                      <w:rPr>
                        <w:rFonts w:ascii="Cambria Math"/>
                        <w:szCs w:val="20"/>
                      </w:rPr>
                      <m:t>g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/>
                            <w:szCs w:val="20"/>
                          </w:rPr>
                          <m:t>*</m:t>
                        </m:r>
                      </m:sup>
                    </m:sSup>
                  </m:e>
                </m:d>
              </m:e>
            </m:nary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e</m:t>
                </m:r>
              </m:e>
              <m:sup>
                <m:r>
                  <w:rPr>
                    <w:rFonts w:ascii="Cambria Math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0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Cs w:val="20"/>
                              </w:rPr>
                              <m:t>g</m:t>
                            </m:r>
                          </m:sup>
                        </m:sSubSup>
                      </m:e>
                    </m:d>
                  </m:num>
                  <m:den>
                    <m:r>
                      <w:rPr>
                        <w:rFonts w:ascii="Cambria Math"/>
                        <w:szCs w:val="20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Cs w:val="20"/>
              </w:rPr>
              <m:t xml:space="preserve"> </m:t>
            </m:r>
          </m:e>
        </m:nary>
      </m:oMath>
      <w:bookmarkEnd w:id="1"/>
      <w:r>
        <w:rPr>
          <w:rFonts w:eastAsiaTheme="minorEastAsia"/>
          <w:szCs w:val="20"/>
        </w:rPr>
        <w:t>(post-OLRAC correction)</w:t>
      </w:r>
    </w:p>
    <w:p w14:paraId="77D106E4" w14:textId="09E63568" w:rsidR="0033255E" w:rsidRDefault="004A22CA" w:rsidP="003D7277">
      <w:pPr>
        <w:pStyle w:val="ListParagraph"/>
        <w:contextualSpacing w:val="0"/>
        <w:jc w:val="both"/>
      </w:pPr>
      <w:r>
        <w:t>M</w:t>
      </w:r>
      <w:r w:rsidR="0033255E">
        <w:t>ore information on the second major</w:t>
      </w:r>
      <w:r w:rsidR="003D7277">
        <w:t xml:space="preserve"> </w:t>
      </w:r>
      <w:r>
        <w:t xml:space="preserve">OLRAC </w:t>
      </w:r>
      <w:r w:rsidR="003D7277">
        <w:t>correction</w:t>
      </w:r>
      <w:r>
        <w:t xml:space="preserve"> is provided in MARAM/IWS/2018/Hake/WP4</w:t>
      </w:r>
      <w:r w:rsidR="0033255E">
        <w:t xml:space="preserve">, but in order to ascertain the difference that the MSY calculation correction made, the 2018 RC OM (RS02) was re-run with the MSY calculation error reintroduced. Table 1 provides key assessment results for this run along with the 2018 RC results. The pre- and post-OLRAC correction model results from Hake/P2 have been repeated in Table 1 for reference purposes. </w:t>
      </w:r>
    </w:p>
    <w:p w14:paraId="5DFC3396" w14:textId="5D0C4856" w:rsidR="00AB7285" w:rsidRDefault="00AB7285" w:rsidP="003D7277">
      <w:pPr>
        <w:pStyle w:val="ListParagraph"/>
        <w:numPr>
          <w:ilvl w:val="0"/>
          <w:numId w:val="2"/>
        </w:numPr>
        <w:contextualSpacing w:val="0"/>
        <w:jc w:val="both"/>
      </w:pPr>
      <w:r>
        <w:t>Figure 1a shows the recruitment vs spawning biomass plots for the nine RS OMs. These figures have been provided for further clarity as the original figures from Hake/P2 are missing some of the</w:t>
      </w:r>
      <w:r w:rsidR="00F3605D">
        <w:t xml:space="preserve"> points marking model estimates of recruitment fluctuation, and each OM is plotted on a separate plot for clarity purposes.</w:t>
      </w:r>
    </w:p>
    <w:p w14:paraId="3B3FFE8F" w14:textId="2634186C" w:rsidR="00F3605D" w:rsidRDefault="00F3605D" w:rsidP="003D7277">
      <w:pPr>
        <w:pStyle w:val="ListParagraph"/>
        <w:numPr>
          <w:ilvl w:val="0"/>
          <w:numId w:val="2"/>
        </w:numPr>
        <w:contextualSpacing w:val="0"/>
        <w:jc w:val="both"/>
      </w:pPr>
      <w:r>
        <w:t>The Panel requested plots of the log of recruitment per spawning biomass, which are shown in Figure 1b (plotted against spawning biomass) and in Figure 1c (plotted against time).</w:t>
      </w:r>
    </w:p>
    <w:p w14:paraId="37999E88" w14:textId="483D5D06" w:rsidR="00F503DF" w:rsidRDefault="00F503DF" w:rsidP="003D7277">
      <w:pPr>
        <w:pStyle w:val="ListParagraph"/>
        <w:numPr>
          <w:ilvl w:val="0"/>
          <w:numId w:val="2"/>
        </w:numPr>
        <w:contextualSpacing w:val="0"/>
        <w:jc w:val="both"/>
      </w:pPr>
      <w:r>
        <w:t>The Panel requested a break-down of the likelihood components for the fits to the GLM CPUE data. Figure 2 shows a detailed break-down of all the likelihood components. Figure 3 lists groupings of likelihood components similar to what has been provided in Hake/P3, but also provides values for the differences in negative log-likelihood components between the RS OMs.</w:t>
      </w:r>
    </w:p>
    <w:p w14:paraId="37C81F4F" w14:textId="75267815" w:rsidR="00F503DF" w:rsidRDefault="00F503DF">
      <w:r>
        <w:br w:type="page"/>
      </w:r>
    </w:p>
    <w:p w14:paraId="5FD9B3B7" w14:textId="77777777" w:rsidR="005B66D5" w:rsidRDefault="005B66D5" w:rsidP="00CE47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B66D5" w14:paraId="6B8919B5" w14:textId="77777777" w:rsidTr="005B66D5">
        <w:tc>
          <w:tcPr>
            <w:tcW w:w="9854" w:type="dxa"/>
          </w:tcPr>
          <w:p w14:paraId="2541E208" w14:textId="69D4FA6A" w:rsidR="005B66D5" w:rsidRPr="00D04C30" w:rsidRDefault="00D04C30" w:rsidP="008E6A1B">
            <w:pPr>
              <w:ind w:left="661" w:hanging="661"/>
              <w:jc w:val="both"/>
            </w:pPr>
            <w:r>
              <w:rPr>
                <w:b/>
              </w:rPr>
              <w:t>Table 1:</w:t>
            </w:r>
            <w:r>
              <w:t xml:space="preserve"> Key </w:t>
            </w:r>
            <w:r w:rsidR="008E6A1B">
              <w:t>assessment outputs are provided</w:t>
            </w:r>
            <w:r>
              <w:t xml:space="preserve"> for four models</w:t>
            </w:r>
            <w:r w:rsidR="008E6A1B">
              <w:t>.</w:t>
            </w:r>
            <w:r>
              <w:t xml:space="preserve"> </w:t>
            </w:r>
            <w:r w:rsidR="008E6A1B">
              <w:t xml:space="preserve">The first pair is </w:t>
            </w:r>
            <w:r>
              <w:t>the 2018 RC (RS02)</w:t>
            </w:r>
            <w:r w:rsidR="008E6A1B">
              <w:t xml:space="preserve"> and</w:t>
            </w:r>
            <w:r>
              <w:t xml:space="preserve"> the 2018 RC with the MSY calculation error reintroduced</w:t>
            </w:r>
            <w:r w:rsidR="007D0A0F">
              <w:t xml:space="preserve"> (same MLE as the 2018 RC)</w:t>
            </w:r>
            <w:r w:rsidR="008E6A1B">
              <w:t xml:space="preserve">, followed by a column giving the percentage change between the </w:t>
            </w:r>
            <w:r w:rsidR="007D0A0F">
              <w:t>assessment outputs for the two models</w:t>
            </w:r>
            <w:r w:rsidR="008E6A1B">
              <w:t>. The second pair is a repeat of the assessment output</w:t>
            </w:r>
            <w:r w:rsidR="007D0A0F">
              <w:t>s of the pre- and post-OLRAC correction models</w:t>
            </w:r>
            <w:r w:rsidR="008E6A1B">
              <w:t xml:space="preserve"> from the bridge building document Hake/P2</w:t>
            </w:r>
            <w:r w:rsidR="007D0A0F">
              <w:t xml:space="preserve"> (models 1b and 2 in that paper)</w:t>
            </w:r>
            <w:r w:rsidR="008E6A1B">
              <w:t>, also with the percentage change. The second pair has been included here to compare the change in magnitude in the MSY-related quantities between the pre- and post-OLRAC correction models with the change</w:t>
            </w:r>
            <w:r w:rsidR="00080B89">
              <w:t>s</w:t>
            </w:r>
            <w:r w:rsidR="008E6A1B">
              <w:t xml:space="preserve"> when the MSY error is reintroduced to the 2018 RC model.</w:t>
            </w:r>
            <w:r w:rsidR="00080B89">
              <w:t xml:space="preserve"> </w:t>
            </w:r>
            <w:r w:rsidR="00184B75">
              <w:t>Note that</w:t>
            </w:r>
            <w:r w:rsidR="00080B89">
              <w:t xml:space="preserve"> the </w:t>
            </w:r>
            <w:r w:rsidR="00184B75">
              <w:t xml:space="preserve">only difference between the two 2018 models is the MSY calculation correction, but there are additional differences between the </w:t>
            </w:r>
            <w:r w:rsidR="00080B89">
              <w:t>two 2017 model</w:t>
            </w:r>
            <w:r w:rsidR="00184B75">
              <w:t>s, as described in the Appendix of Hake/P2 along with whatever other information OLRAC is able to provide.</w:t>
            </w:r>
          </w:p>
        </w:tc>
      </w:tr>
      <w:tr w:rsidR="005B66D5" w14:paraId="35C402DD" w14:textId="77777777" w:rsidTr="005B66D5">
        <w:tc>
          <w:tcPr>
            <w:tcW w:w="9854" w:type="dxa"/>
          </w:tcPr>
          <w:p w14:paraId="120AEE12" w14:textId="77777777" w:rsidR="005B66D5" w:rsidRDefault="005B66D5" w:rsidP="00CE474B"/>
          <w:tbl>
            <w:tblPr>
              <w:tblW w:w="9120" w:type="dxa"/>
              <w:tblLook w:val="04A0" w:firstRow="1" w:lastRow="0" w:firstColumn="1" w:lastColumn="0" w:noHBand="0" w:noVBand="1"/>
            </w:tblPr>
            <w:tblGrid>
              <w:gridCol w:w="1660"/>
              <w:gridCol w:w="1780"/>
              <w:gridCol w:w="960"/>
              <w:gridCol w:w="1160"/>
              <w:gridCol w:w="1260"/>
              <w:gridCol w:w="1240"/>
              <w:gridCol w:w="1137"/>
            </w:tblGrid>
            <w:tr w:rsidR="008E6A1B" w:rsidRPr="008E6A1B" w14:paraId="6001CCD6" w14:textId="77777777" w:rsidTr="008E6A1B">
              <w:trPr>
                <w:trHeight w:val="49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83D678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77B9B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2018 RC with MSY calculation error</w:t>
                  </w:r>
                </w:p>
              </w:tc>
              <w:tc>
                <w:tcPr>
                  <w:tcW w:w="96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DC420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2018 RC</w:t>
                  </w:r>
                </w:p>
              </w:tc>
              <w:tc>
                <w:tcPr>
                  <w:tcW w:w="116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B9B8CC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Percentage change</w:t>
                  </w:r>
                </w:p>
              </w:tc>
              <w:tc>
                <w:tcPr>
                  <w:tcW w:w="126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F33449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2017 RC pre OLRAC</w:t>
                  </w:r>
                </w:p>
              </w:tc>
              <w:tc>
                <w:tcPr>
                  <w:tcW w:w="124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29CDFB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2017 RC post OLRAC</w:t>
                  </w:r>
                </w:p>
              </w:tc>
              <w:tc>
                <w:tcPr>
                  <w:tcW w:w="106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BCFDA98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Percentage change</w:t>
                  </w:r>
                </w:p>
              </w:tc>
            </w:tr>
            <w:tr w:rsidR="008E6A1B" w:rsidRPr="008E6A1B" w14:paraId="245DA7A4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C22DB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lnLtotal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201B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-3154.14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121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-3154.14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6D351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5ACA8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-3822.70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D87E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-5251.52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30E04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 </w:t>
                  </w:r>
                </w:p>
              </w:tc>
            </w:tr>
            <w:tr w:rsidR="008E6A1B" w:rsidRPr="008E6A1B" w14:paraId="13BFF0B7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4FF8B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Ksp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C3D7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F643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318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34A5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8FC8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539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D5F21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7276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-4.5</w:t>
                  </w:r>
                </w:p>
              </w:tc>
            </w:tr>
            <w:tr w:rsidR="008E6A1B" w:rsidRPr="008E6A1B" w14:paraId="5F3B9020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262D7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BspMSY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6169B16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C4871B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3E267C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-11.5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5729B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BE7C33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53A0E18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6.6</w:t>
                  </w:r>
                </w:p>
              </w:tc>
            </w:tr>
            <w:tr w:rsidR="008E6A1B" w:rsidRPr="008E6A1B" w14:paraId="7517B7AD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4FA90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D1F1C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F42D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54CB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CCAF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25DC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5BB8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-38.4</w:t>
                  </w:r>
                </w:p>
              </w:tc>
            </w:tr>
            <w:tr w:rsidR="008E6A1B" w:rsidRPr="008E6A1B" w14:paraId="3F05BD52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E6A4D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Bsp2017/K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0C89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C20A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E3BD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A099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E839A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B890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17.8</w:t>
                  </w:r>
                </w:p>
              </w:tc>
            </w:tr>
            <w:tr w:rsidR="008E6A1B" w:rsidRPr="008E6A1B" w14:paraId="625BE9CA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CC775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Bsp2017/</w:t>
                  </w: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Bspmsy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BCB71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C889D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1.67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5C64C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13.0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9218A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C9998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1130963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20.3</w:t>
                  </w:r>
                </w:p>
              </w:tc>
            </w:tr>
            <w:tr w:rsidR="008E6A1B" w:rsidRPr="008E6A1B" w14:paraId="157831EB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4D2FB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MSY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BED6E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472F2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145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7E9308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18.8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F795D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03B468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0E379C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12.7</w:t>
                  </w:r>
                </w:p>
              </w:tc>
            </w:tr>
            <w:tr w:rsidR="008E6A1B" w:rsidRPr="008E6A1B" w14:paraId="43A419AA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FBA78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Ksp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16CFA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290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E956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751F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F27C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179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5AAA1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F9D58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9.5</w:t>
                  </w:r>
                </w:p>
              </w:tc>
            </w:tr>
            <w:tr w:rsidR="008E6A1B" w:rsidRPr="008E6A1B" w14:paraId="1DCC39B9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96514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BspMSY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1276D56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09A312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65C150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-6.7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A0B84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1C9DE0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85847E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86.3</w:t>
                  </w:r>
                </w:p>
              </w:tc>
            </w:tr>
            <w:tr w:rsidR="008E6A1B" w:rsidRPr="008E6A1B" w14:paraId="6743C9BA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F33E4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688D2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BB5B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198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6BD49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8A63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E2A6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A7AF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26.1</w:t>
                  </w:r>
                </w:p>
              </w:tc>
            </w:tr>
            <w:tr w:rsidR="008E6A1B" w:rsidRPr="008E6A1B" w14:paraId="6FF4808F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EC6A7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Bsp2017/K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7C598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4124A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0.68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E71F5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68C03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617EB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0817E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16.2</w:t>
                  </w:r>
                </w:p>
              </w:tc>
            </w:tr>
            <w:tr w:rsidR="008E6A1B" w:rsidRPr="008E6A1B" w14:paraId="37D3B229" w14:textId="77777777" w:rsidTr="008E6A1B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4DA39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Bsp2017/</w:t>
                  </w:r>
                  <w:proofErr w:type="spellStart"/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Bspmsy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9648250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E82D7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246E52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A8F596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3.27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DE2655D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15793F4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-31.8</w:t>
                  </w:r>
                </w:p>
              </w:tc>
            </w:tr>
            <w:tr w:rsidR="008E6A1B" w:rsidRPr="008E6A1B" w14:paraId="3761637E" w14:textId="77777777" w:rsidTr="008E6A1B">
              <w:trPr>
                <w:trHeight w:val="270"/>
              </w:trPr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6A36A" w14:textId="77777777" w:rsidR="008E6A1B" w:rsidRPr="008E6A1B" w:rsidRDefault="008E6A1B" w:rsidP="008E6A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MSY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97EF27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BE763E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FCB28E1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14.3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FEBF90E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ABE8C91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B236188" w14:textId="77777777" w:rsidR="008E6A1B" w:rsidRPr="008E6A1B" w:rsidRDefault="008E6A1B" w:rsidP="008E6A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E6A1B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26.4</w:t>
                  </w:r>
                </w:p>
              </w:tc>
            </w:tr>
          </w:tbl>
          <w:p w14:paraId="05AC1591" w14:textId="4C0FB7CC" w:rsidR="008E6A1B" w:rsidRDefault="008E6A1B" w:rsidP="00CE474B"/>
        </w:tc>
      </w:tr>
    </w:tbl>
    <w:p w14:paraId="4654484D" w14:textId="77777777" w:rsidR="005B66D5" w:rsidRDefault="005B66D5" w:rsidP="00CE474B"/>
    <w:p w14:paraId="7FAEDC71" w14:textId="1AF206C2" w:rsidR="000B49E8" w:rsidRDefault="000B49E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A316ED" w14:paraId="777C284C" w14:textId="77777777" w:rsidTr="005D095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525D57E" w14:textId="12B1CB45" w:rsidR="00A316ED" w:rsidRDefault="00244CE8" w:rsidP="005D0950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9CFC439" wp14:editId="11295844">
                  <wp:extent cx="5487166" cy="731622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 (13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66" cy="731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6ED" w:rsidRPr="001D13CD" w14:paraId="6472743C" w14:textId="77777777" w:rsidTr="005D0950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122F088" w14:textId="263D60B1" w:rsidR="00A316ED" w:rsidRPr="00A316ED" w:rsidRDefault="00A316ED" w:rsidP="00244CE8">
            <w:pPr>
              <w:spacing w:after="120"/>
              <w:ind w:left="857" w:hanging="857"/>
              <w:jc w:val="both"/>
              <w:rPr>
                <w:szCs w:val="20"/>
              </w:rPr>
            </w:pPr>
            <w:bookmarkStart w:id="2" w:name="_Ref526450773"/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 w:rsidR="001F0D69">
              <w:rPr>
                <w:b/>
                <w:noProof/>
                <w:szCs w:val="20"/>
              </w:rPr>
              <w:t>1</w:t>
            </w:r>
            <w:r w:rsidRPr="00DC5A50">
              <w:rPr>
                <w:b/>
                <w:i/>
                <w:szCs w:val="20"/>
              </w:rPr>
              <w:fldChar w:fldCharType="end"/>
            </w:r>
            <w:bookmarkEnd w:id="2"/>
            <w:r w:rsidR="00244CE8" w:rsidRPr="00244CE8">
              <w:rPr>
                <w:b/>
                <w:szCs w:val="20"/>
              </w:rPr>
              <w:t>a</w:t>
            </w:r>
            <w:r w:rsidRPr="00DC5A50">
              <w:rPr>
                <w:b/>
                <w:szCs w:val="20"/>
              </w:rPr>
              <w:t xml:space="preserve">: </w:t>
            </w:r>
            <w:r w:rsidR="00244CE8">
              <w:rPr>
                <w:szCs w:val="20"/>
              </w:rPr>
              <w:t>Recruitment is plotted against female spawning biomass for the nine RS OMs. The individual points show the estimates from the OMs, while the smooth curves show the stock-recruitment relationships and the straight lines the replacement curves.</w:t>
            </w:r>
          </w:p>
        </w:tc>
      </w:tr>
    </w:tbl>
    <w:p w14:paraId="7C5AA54B" w14:textId="419CAB2B" w:rsidR="000B49E8" w:rsidRDefault="000B49E8" w:rsidP="00897A6F"/>
    <w:p w14:paraId="19D7F0F6" w14:textId="77777777" w:rsidR="00244CE8" w:rsidRDefault="00244CE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244CE8" w14:paraId="2074B72F" w14:textId="77777777" w:rsidTr="00C00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C43CF4F" w14:textId="77777777" w:rsidR="00244CE8" w:rsidRDefault="00244CE8" w:rsidP="00C00FE2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C7E0542" wp14:editId="5550F373">
                  <wp:extent cx="5487166" cy="73162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 (13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66" cy="731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CE8" w:rsidRPr="00A316ED" w14:paraId="10B936F5" w14:textId="77777777" w:rsidTr="00C00FE2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8A4435E" w14:textId="08E2F621" w:rsidR="00244CE8" w:rsidRPr="00A316ED" w:rsidRDefault="00244CE8" w:rsidP="00123D3F">
            <w:pPr>
              <w:spacing w:after="120"/>
              <w:ind w:left="884" w:hanging="884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fldChar w:fldCharType="begin"/>
            </w:r>
            <w:r>
              <w:rPr>
                <w:b/>
                <w:szCs w:val="20"/>
              </w:rPr>
              <w:instrText xml:space="preserve"> REF _Ref526450773 \h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1F0D69" w:rsidRPr="00DC5A50">
              <w:rPr>
                <w:b/>
                <w:szCs w:val="20"/>
              </w:rPr>
              <w:t xml:space="preserve">Figure </w:t>
            </w:r>
            <w:r w:rsidR="001F0D69">
              <w:rPr>
                <w:b/>
                <w:noProof/>
                <w:szCs w:val="20"/>
              </w:rPr>
              <w:t>1</w:t>
            </w:r>
            <w:r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>b</w:t>
            </w:r>
            <w:r w:rsidRPr="00DC5A50">
              <w:rPr>
                <w:b/>
                <w:szCs w:val="20"/>
              </w:rPr>
              <w:t xml:space="preserve">: </w:t>
            </w:r>
            <w:r>
              <w:rPr>
                <w:szCs w:val="20"/>
              </w:rPr>
              <w:t xml:space="preserve">Log of </w:t>
            </w:r>
            <w:r w:rsidR="00123D3F">
              <w:rPr>
                <w:szCs w:val="20"/>
              </w:rPr>
              <w:t>recruitment per spawning biomass is plotted against spawning biomass for the nine RS OMs. Again, the dots show the assessment output from the OM and the solid line the stock-recruitment relationship.</w:t>
            </w:r>
          </w:p>
        </w:tc>
      </w:tr>
    </w:tbl>
    <w:p w14:paraId="6CCA72C5" w14:textId="77777777" w:rsidR="00244CE8" w:rsidRDefault="00244CE8"/>
    <w:p w14:paraId="357E6CA9" w14:textId="77777777" w:rsidR="00244CE8" w:rsidRDefault="00244CE8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244CE8" w14:paraId="0B95A080" w14:textId="77777777" w:rsidTr="00C00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E1B6244" w14:textId="77777777" w:rsidR="00244CE8" w:rsidRDefault="00244CE8" w:rsidP="00C00FE2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91E1F5D" wp14:editId="2CF7817B">
                  <wp:extent cx="5487166" cy="731622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 (1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66" cy="731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CE8" w:rsidRPr="00A316ED" w14:paraId="20A806EB" w14:textId="77777777" w:rsidTr="00C00FE2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63B0128" w14:textId="6DFF9640" w:rsidR="00244CE8" w:rsidRPr="00A316ED" w:rsidRDefault="00244CE8" w:rsidP="00C00FE2">
            <w:pPr>
              <w:spacing w:after="120"/>
              <w:ind w:left="737" w:hanging="737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fldChar w:fldCharType="begin"/>
            </w:r>
            <w:r>
              <w:rPr>
                <w:b/>
                <w:szCs w:val="20"/>
              </w:rPr>
              <w:instrText xml:space="preserve"> REF _Ref526450773 \h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1F0D69" w:rsidRPr="00DC5A50">
              <w:rPr>
                <w:b/>
                <w:szCs w:val="20"/>
              </w:rPr>
              <w:t xml:space="preserve">Figure </w:t>
            </w:r>
            <w:r w:rsidR="001F0D69">
              <w:rPr>
                <w:b/>
                <w:noProof/>
                <w:szCs w:val="20"/>
              </w:rPr>
              <w:t>1</w:t>
            </w:r>
            <w:r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>c</w:t>
            </w:r>
            <w:r w:rsidRPr="00DC5A50">
              <w:rPr>
                <w:b/>
                <w:szCs w:val="20"/>
              </w:rPr>
              <w:t xml:space="preserve">: </w:t>
            </w:r>
            <w:r w:rsidR="00123D3F">
              <w:rPr>
                <w:szCs w:val="20"/>
              </w:rPr>
              <w:t>Log of the recruitment over spawning biomass is plotted against time for the nine RS OMs.</w:t>
            </w:r>
          </w:p>
        </w:tc>
      </w:tr>
    </w:tbl>
    <w:p w14:paraId="325F613F" w14:textId="2DA1DBEA" w:rsidR="000B49E8" w:rsidRDefault="000B49E8">
      <w:r>
        <w:br w:type="page"/>
      </w:r>
    </w:p>
    <w:p w14:paraId="3367B0D9" w14:textId="77777777" w:rsidR="008C18BC" w:rsidRDefault="008C18BC" w:rsidP="00897A6F">
      <w:pPr>
        <w:sectPr w:rsidR="008C18BC" w:rsidSect="00015365">
          <w:headerReference w:type="default" r:id="rId11"/>
          <w:footerReference w:type="default" r:id="rId12"/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96"/>
      </w:tblGrid>
      <w:tr w:rsidR="008C18BC" w14:paraId="6E81DE94" w14:textId="77777777" w:rsidTr="00C00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BF84528" w14:textId="02BCBD0E" w:rsidR="008C18BC" w:rsidRDefault="008C18BC" w:rsidP="00C00FE2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AD83A7" wp14:editId="66078AEA">
                  <wp:extent cx="9394605" cy="5400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 (11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460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8BC" w:rsidRPr="00A316ED" w14:paraId="74655B5B" w14:textId="77777777" w:rsidTr="00C00FE2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744C5CF" w14:textId="793B464C" w:rsidR="008C18BC" w:rsidRPr="0063733C" w:rsidRDefault="008C18BC" w:rsidP="00C00FE2">
            <w:pPr>
              <w:ind w:left="738" w:hanging="738"/>
              <w:jc w:val="both"/>
              <w:rPr>
                <w:szCs w:val="20"/>
              </w:rPr>
            </w:pPr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 w:rsidR="001F0D69">
              <w:rPr>
                <w:b/>
                <w:noProof/>
                <w:szCs w:val="20"/>
              </w:rPr>
              <w:t>2</w:t>
            </w:r>
            <w:r w:rsidRPr="00DC5A50">
              <w:rPr>
                <w:b/>
                <w:i/>
                <w:szCs w:val="20"/>
              </w:rPr>
              <w:fldChar w:fldCharType="end"/>
            </w:r>
            <w:r w:rsidRPr="00DC5A50">
              <w:rPr>
                <w:b/>
                <w:szCs w:val="20"/>
              </w:rPr>
              <w:t xml:space="preserve">: </w:t>
            </w:r>
            <w:r w:rsidR="0063733C">
              <w:rPr>
                <w:szCs w:val="20"/>
              </w:rPr>
              <w:t xml:space="preserve">A detailed break-down of the negative log-likelihood components is provided for the nine RS OMs. </w:t>
            </w:r>
            <w:r w:rsidR="000403AA">
              <w:rPr>
                <w:szCs w:val="20"/>
              </w:rPr>
              <w:t>Each block corresponds to a different data type and the title above that block indicates to which data source each value with that block corresponds to.</w:t>
            </w:r>
          </w:p>
        </w:tc>
      </w:tr>
    </w:tbl>
    <w:p w14:paraId="4C987508" w14:textId="77777777" w:rsidR="004606BF" w:rsidRDefault="004606BF" w:rsidP="00897A6F">
      <w:pPr>
        <w:sectPr w:rsidR="004606BF" w:rsidSect="008C18BC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4606BF" w14:paraId="05510555" w14:textId="77777777" w:rsidTr="00C00F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FCEA307" w14:textId="7CC0C75E" w:rsidR="004606BF" w:rsidRDefault="004606BF" w:rsidP="00C00FE2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AAD4C4D" wp14:editId="225838E5">
                  <wp:extent cx="6263640" cy="6263640"/>
                  <wp:effectExtent l="0" t="0" r="381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 (12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626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6BF" w:rsidRPr="00A316ED" w14:paraId="750931EA" w14:textId="77777777" w:rsidTr="00C00FE2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4653CA" w14:textId="456B5757" w:rsidR="004606BF" w:rsidRPr="001F0D69" w:rsidRDefault="004606BF" w:rsidP="00C00FE2">
            <w:pPr>
              <w:ind w:left="738" w:hanging="738"/>
              <w:jc w:val="both"/>
              <w:rPr>
                <w:szCs w:val="20"/>
              </w:rPr>
            </w:pPr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 w:rsidR="001F0D69">
              <w:rPr>
                <w:b/>
                <w:noProof/>
                <w:szCs w:val="20"/>
              </w:rPr>
              <w:t>3</w:t>
            </w:r>
            <w:r w:rsidRPr="00DC5A50">
              <w:rPr>
                <w:b/>
                <w:i/>
                <w:szCs w:val="20"/>
              </w:rPr>
              <w:fldChar w:fldCharType="end"/>
            </w:r>
            <w:r w:rsidRPr="00DC5A50">
              <w:rPr>
                <w:b/>
                <w:szCs w:val="20"/>
              </w:rPr>
              <w:t xml:space="preserve">: </w:t>
            </w:r>
            <w:r w:rsidR="001F0D69">
              <w:rPr>
                <w:szCs w:val="20"/>
              </w:rPr>
              <w:t xml:space="preserve">Negative log-likelihoods given by group </w:t>
            </w:r>
            <w:r w:rsidR="00336D6F">
              <w:rPr>
                <w:szCs w:val="20"/>
              </w:rPr>
              <w:t>for (a) absolute terms and (b) relative to the first RS01 OM.</w:t>
            </w:r>
          </w:p>
        </w:tc>
      </w:tr>
    </w:tbl>
    <w:p w14:paraId="59E1AC52" w14:textId="6DB4CFE5" w:rsidR="00166185" w:rsidRPr="009D224E" w:rsidRDefault="00166185" w:rsidP="00897A6F"/>
    <w:sectPr w:rsidR="00166185" w:rsidRPr="009D224E" w:rsidSect="004606B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1006" w14:textId="77777777" w:rsidR="00283A9E" w:rsidRDefault="00283A9E" w:rsidP="000123C4">
      <w:pPr>
        <w:spacing w:after="0" w:line="240" w:lineRule="auto"/>
      </w:pPr>
      <w:r>
        <w:separator/>
      </w:r>
    </w:p>
  </w:endnote>
  <w:endnote w:type="continuationSeparator" w:id="0">
    <w:p w14:paraId="4BB99293" w14:textId="77777777" w:rsidR="00283A9E" w:rsidRDefault="00283A9E" w:rsidP="0001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28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FA430" w14:textId="40683B92" w:rsidR="0016054A" w:rsidRDefault="00160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633BF7" w14:textId="77777777" w:rsidR="0016054A" w:rsidRDefault="0016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75DC" w14:textId="77777777" w:rsidR="00283A9E" w:rsidRDefault="00283A9E" w:rsidP="000123C4">
      <w:pPr>
        <w:spacing w:after="0" w:line="240" w:lineRule="auto"/>
      </w:pPr>
      <w:r>
        <w:separator/>
      </w:r>
    </w:p>
  </w:footnote>
  <w:footnote w:type="continuationSeparator" w:id="0">
    <w:p w14:paraId="193232F7" w14:textId="77777777" w:rsidR="00283A9E" w:rsidRDefault="00283A9E" w:rsidP="000123C4">
      <w:pPr>
        <w:spacing w:after="0" w:line="240" w:lineRule="auto"/>
      </w:pPr>
      <w:r>
        <w:continuationSeparator/>
      </w:r>
    </w:p>
  </w:footnote>
  <w:footnote w:id="1">
    <w:p w14:paraId="5B67AF9D" w14:textId="77777777" w:rsidR="0016054A" w:rsidRDefault="0016054A" w:rsidP="000123C4">
      <w:pPr>
        <w:pStyle w:val="FootnoteText"/>
      </w:pPr>
      <w:r>
        <w:rPr>
          <w:rStyle w:val="FootnoteReference"/>
        </w:rPr>
        <w:footnoteRef/>
      </w:r>
      <w:r>
        <w:t xml:space="preserve"> Marine Resource Assessment and Management Group, Department of Mathematics and Applied Mathematics, University of Cape Town, Rondebosch.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C7C3" w14:textId="6C5F4DF1" w:rsidR="005307C8" w:rsidRDefault="007557A5" w:rsidP="005307C8">
    <w:pPr>
      <w:pStyle w:val="Header"/>
      <w:jc w:val="right"/>
    </w:pPr>
    <w:r>
      <w:tab/>
    </w:r>
    <w:r>
      <w:tab/>
      <w:t>MARAM/IWS/2018/Hake/</w:t>
    </w:r>
    <w:r w:rsidR="00E03078">
      <w:t>WP</w:t>
    </w:r>
    <w:r w:rsidR="005307C8">
      <w:t>5</w:t>
    </w:r>
  </w:p>
  <w:p w14:paraId="21B41FFB" w14:textId="77777777" w:rsidR="0016054A" w:rsidRDefault="00160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4393"/>
    <w:multiLevelType w:val="hybridMultilevel"/>
    <w:tmpl w:val="6CA2EA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59DE"/>
    <w:multiLevelType w:val="hybridMultilevel"/>
    <w:tmpl w:val="5EA67F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4"/>
    <w:rsid w:val="000123C4"/>
    <w:rsid w:val="00015365"/>
    <w:rsid w:val="000403AA"/>
    <w:rsid w:val="00050526"/>
    <w:rsid w:val="00051F32"/>
    <w:rsid w:val="000529FC"/>
    <w:rsid w:val="00052F4E"/>
    <w:rsid w:val="00080984"/>
    <w:rsid w:val="00080B89"/>
    <w:rsid w:val="0009317F"/>
    <w:rsid w:val="000A629E"/>
    <w:rsid w:val="000B19E5"/>
    <w:rsid w:val="000B49E8"/>
    <w:rsid w:val="000B6B5E"/>
    <w:rsid w:val="000C167F"/>
    <w:rsid w:val="000D32DA"/>
    <w:rsid w:val="000E385B"/>
    <w:rsid w:val="000E7645"/>
    <w:rsid w:val="000F4521"/>
    <w:rsid w:val="0010456A"/>
    <w:rsid w:val="00120647"/>
    <w:rsid w:val="001209C0"/>
    <w:rsid w:val="00122C13"/>
    <w:rsid w:val="00123D3F"/>
    <w:rsid w:val="00124428"/>
    <w:rsid w:val="00124A35"/>
    <w:rsid w:val="00131F91"/>
    <w:rsid w:val="00134800"/>
    <w:rsid w:val="00140DCE"/>
    <w:rsid w:val="001434ED"/>
    <w:rsid w:val="00144567"/>
    <w:rsid w:val="0015505E"/>
    <w:rsid w:val="00155432"/>
    <w:rsid w:val="0016054A"/>
    <w:rsid w:val="001613ED"/>
    <w:rsid w:val="0016327C"/>
    <w:rsid w:val="00166185"/>
    <w:rsid w:val="001725A5"/>
    <w:rsid w:val="001761F3"/>
    <w:rsid w:val="001767EF"/>
    <w:rsid w:val="00182E8A"/>
    <w:rsid w:val="00184B75"/>
    <w:rsid w:val="0018696E"/>
    <w:rsid w:val="00187352"/>
    <w:rsid w:val="00191918"/>
    <w:rsid w:val="00195CAD"/>
    <w:rsid w:val="001A6CC4"/>
    <w:rsid w:val="001B1BDE"/>
    <w:rsid w:val="001B4D77"/>
    <w:rsid w:val="001C008F"/>
    <w:rsid w:val="001C2F2B"/>
    <w:rsid w:val="001C4957"/>
    <w:rsid w:val="001C5C08"/>
    <w:rsid w:val="001D13CD"/>
    <w:rsid w:val="001D6FE9"/>
    <w:rsid w:val="001E2F10"/>
    <w:rsid w:val="001E5BDE"/>
    <w:rsid w:val="001F0D69"/>
    <w:rsid w:val="00203D0A"/>
    <w:rsid w:val="00211B65"/>
    <w:rsid w:val="002137B8"/>
    <w:rsid w:val="0021724F"/>
    <w:rsid w:val="0022066C"/>
    <w:rsid w:val="00224584"/>
    <w:rsid w:val="00230163"/>
    <w:rsid w:val="002303B3"/>
    <w:rsid w:val="00240066"/>
    <w:rsid w:val="002441A6"/>
    <w:rsid w:val="00244CE8"/>
    <w:rsid w:val="00283A9E"/>
    <w:rsid w:val="00284C5F"/>
    <w:rsid w:val="00286541"/>
    <w:rsid w:val="00293339"/>
    <w:rsid w:val="002B6282"/>
    <w:rsid w:val="002D29DE"/>
    <w:rsid w:val="002E5B3D"/>
    <w:rsid w:val="002F478B"/>
    <w:rsid w:val="002F4BF9"/>
    <w:rsid w:val="00305F9B"/>
    <w:rsid w:val="0033255E"/>
    <w:rsid w:val="00335747"/>
    <w:rsid w:val="00336D6F"/>
    <w:rsid w:val="00355D9F"/>
    <w:rsid w:val="003D7277"/>
    <w:rsid w:val="003F109C"/>
    <w:rsid w:val="00414ACE"/>
    <w:rsid w:val="00415B31"/>
    <w:rsid w:val="004359F6"/>
    <w:rsid w:val="0044033B"/>
    <w:rsid w:val="00441D29"/>
    <w:rsid w:val="00444BF7"/>
    <w:rsid w:val="00447593"/>
    <w:rsid w:val="00447ADB"/>
    <w:rsid w:val="004606BF"/>
    <w:rsid w:val="004665A6"/>
    <w:rsid w:val="00481682"/>
    <w:rsid w:val="00486913"/>
    <w:rsid w:val="00487CB9"/>
    <w:rsid w:val="0049636C"/>
    <w:rsid w:val="004A19DB"/>
    <w:rsid w:val="004A1C52"/>
    <w:rsid w:val="004A22CA"/>
    <w:rsid w:val="004A5358"/>
    <w:rsid w:val="004A7F26"/>
    <w:rsid w:val="004B60A8"/>
    <w:rsid w:val="004B7B46"/>
    <w:rsid w:val="004C1216"/>
    <w:rsid w:val="004C2E88"/>
    <w:rsid w:val="004D5075"/>
    <w:rsid w:val="004D6758"/>
    <w:rsid w:val="004E27D3"/>
    <w:rsid w:val="004F0B85"/>
    <w:rsid w:val="004F17A7"/>
    <w:rsid w:val="00515BE0"/>
    <w:rsid w:val="00521E48"/>
    <w:rsid w:val="005248E6"/>
    <w:rsid w:val="00525CFD"/>
    <w:rsid w:val="005307C8"/>
    <w:rsid w:val="00550F63"/>
    <w:rsid w:val="0056200D"/>
    <w:rsid w:val="005621B6"/>
    <w:rsid w:val="005760B7"/>
    <w:rsid w:val="00576846"/>
    <w:rsid w:val="0057714B"/>
    <w:rsid w:val="00584BA3"/>
    <w:rsid w:val="00590056"/>
    <w:rsid w:val="00594002"/>
    <w:rsid w:val="005A3591"/>
    <w:rsid w:val="005A37BB"/>
    <w:rsid w:val="005A7EA9"/>
    <w:rsid w:val="005B1813"/>
    <w:rsid w:val="005B2E5A"/>
    <w:rsid w:val="005B66D5"/>
    <w:rsid w:val="005C1250"/>
    <w:rsid w:val="005C5CDE"/>
    <w:rsid w:val="005D0CE0"/>
    <w:rsid w:val="005D592A"/>
    <w:rsid w:val="005E586D"/>
    <w:rsid w:val="005F35AB"/>
    <w:rsid w:val="005F6E05"/>
    <w:rsid w:val="00607280"/>
    <w:rsid w:val="00620BBB"/>
    <w:rsid w:val="00621FFB"/>
    <w:rsid w:val="006332BD"/>
    <w:rsid w:val="0063733C"/>
    <w:rsid w:val="00637DA1"/>
    <w:rsid w:val="00646B10"/>
    <w:rsid w:val="0065594D"/>
    <w:rsid w:val="00663780"/>
    <w:rsid w:val="006740B0"/>
    <w:rsid w:val="00674B72"/>
    <w:rsid w:val="0067575F"/>
    <w:rsid w:val="00681520"/>
    <w:rsid w:val="00683722"/>
    <w:rsid w:val="006854D9"/>
    <w:rsid w:val="00696B23"/>
    <w:rsid w:val="006D3B3C"/>
    <w:rsid w:val="006F0AA7"/>
    <w:rsid w:val="00710BBF"/>
    <w:rsid w:val="0071175D"/>
    <w:rsid w:val="00720410"/>
    <w:rsid w:val="00724D47"/>
    <w:rsid w:val="00726E66"/>
    <w:rsid w:val="00731E94"/>
    <w:rsid w:val="00734273"/>
    <w:rsid w:val="007431CC"/>
    <w:rsid w:val="00743786"/>
    <w:rsid w:val="007557A5"/>
    <w:rsid w:val="0076452C"/>
    <w:rsid w:val="0077138B"/>
    <w:rsid w:val="00772C5F"/>
    <w:rsid w:val="007736DA"/>
    <w:rsid w:val="007B7D2B"/>
    <w:rsid w:val="007C6C17"/>
    <w:rsid w:val="007D0A0F"/>
    <w:rsid w:val="007D5DF2"/>
    <w:rsid w:val="007E1CFC"/>
    <w:rsid w:val="007E2D51"/>
    <w:rsid w:val="007E73F2"/>
    <w:rsid w:val="007E76FE"/>
    <w:rsid w:val="007E7902"/>
    <w:rsid w:val="00803A97"/>
    <w:rsid w:val="00806C7D"/>
    <w:rsid w:val="00823238"/>
    <w:rsid w:val="00825761"/>
    <w:rsid w:val="00841AEC"/>
    <w:rsid w:val="00853977"/>
    <w:rsid w:val="008560A8"/>
    <w:rsid w:val="0086025D"/>
    <w:rsid w:val="00866CE1"/>
    <w:rsid w:val="008730AA"/>
    <w:rsid w:val="00876C30"/>
    <w:rsid w:val="00877DCF"/>
    <w:rsid w:val="00886436"/>
    <w:rsid w:val="008871A9"/>
    <w:rsid w:val="0089224E"/>
    <w:rsid w:val="00897A6F"/>
    <w:rsid w:val="008A685F"/>
    <w:rsid w:val="008C18BC"/>
    <w:rsid w:val="008C30D5"/>
    <w:rsid w:val="008D2A75"/>
    <w:rsid w:val="008E33A2"/>
    <w:rsid w:val="008E3931"/>
    <w:rsid w:val="008E6A1B"/>
    <w:rsid w:val="00910C20"/>
    <w:rsid w:val="00924D44"/>
    <w:rsid w:val="00925E71"/>
    <w:rsid w:val="00931D7E"/>
    <w:rsid w:val="009531E6"/>
    <w:rsid w:val="009550B3"/>
    <w:rsid w:val="009629D6"/>
    <w:rsid w:val="00980A10"/>
    <w:rsid w:val="00992C14"/>
    <w:rsid w:val="009A0378"/>
    <w:rsid w:val="009A3B43"/>
    <w:rsid w:val="009A6FAA"/>
    <w:rsid w:val="009C23B2"/>
    <w:rsid w:val="009D1867"/>
    <w:rsid w:val="009D224E"/>
    <w:rsid w:val="009E0CE6"/>
    <w:rsid w:val="009F08EB"/>
    <w:rsid w:val="009F0BE1"/>
    <w:rsid w:val="00A0754C"/>
    <w:rsid w:val="00A106F9"/>
    <w:rsid w:val="00A153A5"/>
    <w:rsid w:val="00A17BB1"/>
    <w:rsid w:val="00A316ED"/>
    <w:rsid w:val="00A45891"/>
    <w:rsid w:val="00A45CC8"/>
    <w:rsid w:val="00A55A32"/>
    <w:rsid w:val="00A66ECE"/>
    <w:rsid w:val="00A713C7"/>
    <w:rsid w:val="00A71D80"/>
    <w:rsid w:val="00A87CB1"/>
    <w:rsid w:val="00A977B2"/>
    <w:rsid w:val="00AB39CE"/>
    <w:rsid w:val="00AB7285"/>
    <w:rsid w:val="00AC24BD"/>
    <w:rsid w:val="00AC522D"/>
    <w:rsid w:val="00AC5FE1"/>
    <w:rsid w:val="00AD08FF"/>
    <w:rsid w:val="00AF6C83"/>
    <w:rsid w:val="00B001FC"/>
    <w:rsid w:val="00B05FB8"/>
    <w:rsid w:val="00B13326"/>
    <w:rsid w:val="00B431FC"/>
    <w:rsid w:val="00B55241"/>
    <w:rsid w:val="00B700C8"/>
    <w:rsid w:val="00B87AB1"/>
    <w:rsid w:val="00B87C37"/>
    <w:rsid w:val="00B96122"/>
    <w:rsid w:val="00BA5778"/>
    <w:rsid w:val="00BB0845"/>
    <w:rsid w:val="00BB72CC"/>
    <w:rsid w:val="00BC1F6A"/>
    <w:rsid w:val="00BC623D"/>
    <w:rsid w:val="00BD64CA"/>
    <w:rsid w:val="00BE1045"/>
    <w:rsid w:val="00BF7A8B"/>
    <w:rsid w:val="00C0087B"/>
    <w:rsid w:val="00C026FB"/>
    <w:rsid w:val="00C05EDB"/>
    <w:rsid w:val="00C0619E"/>
    <w:rsid w:val="00C15CF7"/>
    <w:rsid w:val="00C20AE3"/>
    <w:rsid w:val="00C251A7"/>
    <w:rsid w:val="00C263C4"/>
    <w:rsid w:val="00C35528"/>
    <w:rsid w:val="00C37A0B"/>
    <w:rsid w:val="00C430C7"/>
    <w:rsid w:val="00C5098B"/>
    <w:rsid w:val="00C6178E"/>
    <w:rsid w:val="00C75980"/>
    <w:rsid w:val="00C8147A"/>
    <w:rsid w:val="00C96726"/>
    <w:rsid w:val="00CA2B82"/>
    <w:rsid w:val="00CB00A4"/>
    <w:rsid w:val="00CB1836"/>
    <w:rsid w:val="00CC4CCD"/>
    <w:rsid w:val="00CD1834"/>
    <w:rsid w:val="00CD7B79"/>
    <w:rsid w:val="00CE474B"/>
    <w:rsid w:val="00CF359D"/>
    <w:rsid w:val="00D043C4"/>
    <w:rsid w:val="00D04C30"/>
    <w:rsid w:val="00D1001C"/>
    <w:rsid w:val="00D20F30"/>
    <w:rsid w:val="00D42451"/>
    <w:rsid w:val="00D578A3"/>
    <w:rsid w:val="00D6479B"/>
    <w:rsid w:val="00D6733E"/>
    <w:rsid w:val="00D93A9F"/>
    <w:rsid w:val="00D941D5"/>
    <w:rsid w:val="00DB7A89"/>
    <w:rsid w:val="00DC00A4"/>
    <w:rsid w:val="00DC5A50"/>
    <w:rsid w:val="00DC7921"/>
    <w:rsid w:val="00DD6377"/>
    <w:rsid w:val="00DF46F8"/>
    <w:rsid w:val="00DF5848"/>
    <w:rsid w:val="00E010B1"/>
    <w:rsid w:val="00E01468"/>
    <w:rsid w:val="00E0186A"/>
    <w:rsid w:val="00E01DC4"/>
    <w:rsid w:val="00E03078"/>
    <w:rsid w:val="00E1435C"/>
    <w:rsid w:val="00E17399"/>
    <w:rsid w:val="00E301AF"/>
    <w:rsid w:val="00E30CF8"/>
    <w:rsid w:val="00E405CE"/>
    <w:rsid w:val="00E46322"/>
    <w:rsid w:val="00E46B7B"/>
    <w:rsid w:val="00E656D1"/>
    <w:rsid w:val="00E75D3D"/>
    <w:rsid w:val="00E75F9D"/>
    <w:rsid w:val="00E82945"/>
    <w:rsid w:val="00E90642"/>
    <w:rsid w:val="00EC3F97"/>
    <w:rsid w:val="00EC4A45"/>
    <w:rsid w:val="00ED7D38"/>
    <w:rsid w:val="00EF2CCE"/>
    <w:rsid w:val="00F02149"/>
    <w:rsid w:val="00F03353"/>
    <w:rsid w:val="00F07E3A"/>
    <w:rsid w:val="00F166FA"/>
    <w:rsid w:val="00F21F4B"/>
    <w:rsid w:val="00F3605D"/>
    <w:rsid w:val="00F4060B"/>
    <w:rsid w:val="00F503DF"/>
    <w:rsid w:val="00F61AC1"/>
    <w:rsid w:val="00F72E35"/>
    <w:rsid w:val="00F80BA6"/>
    <w:rsid w:val="00F8762F"/>
    <w:rsid w:val="00F90CEF"/>
    <w:rsid w:val="00F95113"/>
    <w:rsid w:val="00FA0731"/>
    <w:rsid w:val="00FA46BD"/>
    <w:rsid w:val="00FB3856"/>
    <w:rsid w:val="00FB4152"/>
    <w:rsid w:val="00FC468A"/>
    <w:rsid w:val="00FC71C3"/>
    <w:rsid w:val="00F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C62667"/>
  <w15:docId w15:val="{2DF05550-ED20-4843-B167-A7E0D2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E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C4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3C4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C4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3C4"/>
    <w:rPr>
      <w:rFonts w:ascii="Calibri" w:eastAsiaTheme="majorEastAsia" w:hAnsi="Calibri" w:cstheme="majorBidi"/>
      <w:b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3C4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3C4"/>
    <w:rPr>
      <w:vertAlign w:val="superscript"/>
    </w:rPr>
  </w:style>
  <w:style w:type="table" w:styleId="TableGrid">
    <w:name w:val="Table Grid"/>
    <w:basedOn w:val="TableNormal"/>
    <w:uiPriority w:val="39"/>
    <w:rsid w:val="00F9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50"/>
  </w:style>
  <w:style w:type="paragraph" w:styleId="Footer">
    <w:name w:val="footer"/>
    <w:basedOn w:val="Normal"/>
    <w:link w:val="Foot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50"/>
  </w:style>
  <w:style w:type="character" w:styleId="PlaceholderText">
    <w:name w:val="Placeholder Text"/>
    <w:basedOn w:val="DefaultParagraphFont"/>
    <w:uiPriority w:val="99"/>
    <w:semiHidden/>
    <w:rsid w:val="00F21F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B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3C7"/>
    <w:pPr>
      <w:ind w:left="720"/>
      <w:contextualSpacing/>
    </w:pPr>
  </w:style>
  <w:style w:type="paragraph" w:styleId="Revision">
    <w:name w:val="Revision"/>
    <w:hidden/>
    <w:uiPriority w:val="99"/>
    <w:semiHidden/>
    <w:rsid w:val="00C05ED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A322-0B31-4BA0-A5D9-0BF7B60E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mlland028@myuct.ac.za</dc:creator>
  <cp:lastModifiedBy>Melissa Jacobs</cp:lastModifiedBy>
  <cp:revision>2</cp:revision>
  <cp:lastPrinted>2018-11-24T20:54:00Z</cp:lastPrinted>
  <dcterms:created xsi:type="dcterms:W3CDTF">2018-11-28T07:01:00Z</dcterms:created>
  <dcterms:modified xsi:type="dcterms:W3CDTF">2018-11-28T07:01:00Z</dcterms:modified>
</cp:coreProperties>
</file>