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05" w:rsidRPr="004E1057" w:rsidRDefault="00E2618E" w:rsidP="00E552C4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C67EEE" w:rsidRPr="004E1057">
        <w:rPr>
          <w:b/>
          <w:sz w:val="36"/>
          <w:szCs w:val="36"/>
        </w:rPr>
        <w:t>orrection</w:t>
      </w:r>
      <w:r w:rsidR="00E552C4">
        <w:rPr>
          <w:b/>
          <w:sz w:val="36"/>
          <w:szCs w:val="36"/>
        </w:rPr>
        <w:t>s</w:t>
      </w:r>
      <w:r w:rsidR="00C67EEE" w:rsidRPr="004E1057">
        <w:rPr>
          <w:b/>
          <w:sz w:val="36"/>
          <w:szCs w:val="36"/>
        </w:rPr>
        <w:t xml:space="preserve"> applied to </w:t>
      </w:r>
      <w:r w:rsidR="00AC6957">
        <w:rPr>
          <w:b/>
          <w:sz w:val="36"/>
          <w:szCs w:val="36"/>
        </w:rPr>
        <w:t xml:space="preserve">the </w:t>
      </w:r>
      <w:r w:rsidR="00AC6957" w:rsidRPr="004E1057">
        <w:rPr>
          <w:b/>
          <w:sz w:val="36"/>
          <w:szCs w:val="36"/>
        </w:rPr>
        <w:t xml:space="preserve">hake assessment </w:t>
      </w:r>
      <w:r w:rsidR="00C67EEE" w:rsidRPr="004E1057">
        <w:rPr>
          <w:b/>
          <w:sz w:val="36"/>
          <w:szCs w:val="36"/>
        </w:rPr>
        <w:t xml:space="preserve">ADMB code circa </w:t>
      </w:r>
      <w:bookmarkStart w:id="0" w:name="_GoBack"/>
      <w:bookmarkEnd w:id="0"/>
      <w:r w:rsidR="00C67EEE" w:rsidRPr="004E1057">
        <w:rPr>
          <w:b/>
          <w:sz w:val="36"/>
          <w:szCs w:val="36"/>
        </w:rPr>
        <w:t>April 2017</w:t>
      </w:r>
      <w:r w:rsidR="007F5313">
        <w:rPr>
          <w:b/>
          <w:sz w:val="36"/>
          <w:szCs w:val="36"/>
        </w:rPr>
        <w:t>,</w:t>
      </w:r>
      <w:r w:rsidR="00E552C4">
        <w:rPr>
          <w:b/>
          <w:sz w:val="36"/>
          <w:szCs w:val="36"/>
        </w:rPr>
        <w:t xml:space="preserve"> and circa January 2018</w:t>
      </w:r>
    </w:p>
    <w:p w:rsidR="004E1057" w:rsidRDefault="004E1057" w:rsidP="00F87905">
      <w:pPr>
        <w:pStyle w:val="Header"/>
        <w:jc w:val="center"/>
        <w:rPr>
          <w:b/>
          <w:sz w:val="32"/>
          <w:szCs w:val="32"/>
        </w:rPr>
      </w:pPr>
    </w:p>
    <w:p w:rsidR="004E1057" w:rsidRPr="00D535CC" w:rsidRDefault="004E1057" w:rsidP="00F87905">
      <w:pPr>
        <w:pStyle w:val="Header"/>
        <w:jc w:val="center"/>
        <w:rPr>
          <w:b/>
          <w:sz w:val="24"/>
          <w:szCs w:val="24"/>
        </w:rPr>
      </w:pPr>
      <w:r w:rsidRPr="00D535CC">
        <w:rPr>
          <w:b/>
          <w:sz w:val="24"/>
          <w:szCs w:val="24"/>
        </w:rPr>
        <w:t>Submitted 27 November 2018</w:t>
      </w:r>
    </w:p>
    <w:p w:rsidR="00D535CC" w:rsidRPr="00D535CC" w:rsidRDefault="00D535CC" w:rsidP="00F87905">
      <w:pPr>
        <w:pStyle w:val="Header"/>
        <w:jc w:val="center"/>
        <w:rPr>
          <w:b/>
          <w:sz w:val="24"/>
          <w:szCs w:val="24"/>
        </w:rPr>
      </w:pPr>
      <w:r w:rsidRPr="00D535CC">
        <w:rPr>
          <w:b/>
          <w:sz w:val="24"/>
          <w:szCs w:val="24"/>
        </w:rPr>
        <w:t>Mike Bergh: mike@olsps.com</w:t>
      </w:r>
    </w:p>
    <w:p w:rsidR="00C67EEE" w:rsidRDefault="00C67EEE" w:rsidP="00B47C5C">
      <w:pPr>
        <w:jc w:val="center"/>
        <w:outlineLvl w:val="0"/>
        <w:rPr>
          <w:rFonts w:ascii="Calibri" w:hAnsi="Calibri" w:cs="Calibri"/>
          <w:b/>
          <w:bCs/>
          <w:lang w:val="en-US"/>
        </w:rPr>
      </w:pPr>
    </w:p>
    <w:p w:rsidR="00A159E1" w:rsidRDefault="00E2618E" w:rsidP="002A202E">
      <w:pPr>
        <w:spacing w:before="120" w:after="120"/>
      </w:pPr>
      <w:r>
        <w:t>Two coding corrections which materially impacted results from stock assessment</w:t>
      </w:r>
      <w:r w:rsidR="00E552C4">
        <w:t>s</w:t>
      </w:r>
      <w:r>
        <w:t xml:space="preserve"> for h</w:t>
      </w:r>
      <w:r w:rsidR="00E552C4">
        <w:t xml:space="preserve">ake were not listed in </w:t>
      </w:r>
      <w:r w:rsidR="00E552C4" w:rsidRPr="00E552C4">
        <w:t>Appendix A of MARAM/IWS/2018/Hake/</w:t>
      </w:r>
      <w:proofErr w:type="gramStart"/>
      <w:r w:rsidR="00E552C4" w:rsidRPr="00E552C4">
        <w:t>P2</w:t>
      </w:r>
      <w:r w:rsidR="00E552C4">
        <w:t>, and</w:t>
      </w:r>
      <w:proofErr w:type="gramEnd"/>
      <w:r w:rsidR="0033544A">
        <w:t xml:space="preserve"> </w:t>
      </w:r>
      <w:r w:rsidR="00E552C4">
        <w:t xml:space="preserve">are described here.  The first was circa April 2017.  </w:t>
      </w:r>
      <w:r w:rsidR="00B47C5C">
        <w:t xml:space="preserve">In April 2017 it was confirmed that the code used to implement equation (9) of </w:t>
      </w:r>
      <w:r w:rsidR="00B47C5C" w:rsidRPr="00F87905">
        <w:rPr>
          <w:rFonts w:cstheme="minorHAnsi"/>
          <w:b/>
          <w:i/>
          <w:iCs/>
        </w:rPr>
        <w:t>FISHERIES/2017/FEB/SWG-DEM/07</w:t>
      </w:r>
      <w:r w:rsidR="00B47C5C">
        <w:t xml:space="preserve"> involve</w:t>
      </w:r>
      <w:r w:rsidR="006730D5">
        <w:t>d</w:t>
      </w:r>
      <w:r w:rsidR="00D535CC">
        <w:t>, for the denominator,</w:t>
      </w:r>
      <w:r w:rsidR="00B47C5C">
        <w:t xml:space="preserve"> the use of the result from equation (8)</w:t>
      </w:r>
      <w:r w:rsidR="00F87905">
        <w:t>.  These two equations a</w:t>
      </w:r>
      <w:r w:rsidR="006730D5">
        <w:t>ppear</w:t>
      </w:r>
      <w:r w:rsidR="00F87905">
        <w:t xml:space="preserve"> in the following excerpt from </w:t>
      </w:r>
      <w:r w:rsidR="00F87905" w:rsidRPr="00F87905">
        <w:rPr>
          <w:rFonts w:cstheme="minorHAnsi"/>
          <w:b/>
          <w:i/>
          <w:iCs/>
        </w:rPr>
        <w:t>FISHERIES/2017/FEB/SWG-DEM/07</w:t>
      </w:r>
      <w:r w:rsidR="00F87905">
        <w:t>:</w:t>
      </w:r>
    </w:p>
    <w:p w:rsidR="00A159E1" w:rsidRDefault="00F87905" w:rsidP="00A159E1">
      <w:pPr>
        <w:spacing w:before="120" w:after="360"/>
      </w:pPr>
      <w:r>
        <w:rPr>
          <w:noProof/>
        </w:rPr>
        <w:drawing>
          <wp:inline distT="0" distB="0" distL="0" distR="0">
            <wp:extent cx="6222047" cy="2461098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98" cy="246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C5C">
        <w:t xml:space="preserve"> </w:t>
      </w:r>
    </w:p>
    <w:p w:rsidR="00B47C5C" w:rsidRPr="00A159E1" w:rsidRDefault="00B47C5C" w:rsidP="00E552C4">
      <w:pPr>
        <w:spacing w:before="120" w:after="120"/>
        <w:rPr>
          <w:rFonts w:eastAsia="Times New Roman"/>
          <w:color w:val="000000" w:themeColor="text1"/>
        </w:rPr>
      </w:pPr>
      <w:r w:rsidRPr="00A159E1">
        <w:rPr>
          <w:color w:val="000000" w:themeColor="text1"/>
        </w:rPr>
        <w:t>The result of equation (8) is selectivity-</w:t>
      </w:r>
      <w:r w:rsidRPr="00A159E1">
        <w:rPr>
          <w:b/>
          <w:color w:val="000000" w:themeColor="text1"/>
          <w:u w:val="single"/>
        </w:rPr>
        <w:t>at-age</w:t>
      </w:r>
      <w:r w:rsidRPr="00A159E1">
        <w:rPr>
          <w:color w:val="000000" w:themeColor="text1"/>
        </w:rPr>
        <w:t xml:space="preserve">, </w:t>
      </w:r>
      <w:r w:rsidR="00F87905" w:rsidRPr="00A159E1">
        <w:rPr>
          <w:color w:val="000000" w:themeColor="text1"/>
        </w:rPr>
        <w:t xml:space="preserve">which is the denominator of equation (9).  It </w:t>
      </w:r>
      <w:proofErr w:type="gramStart"/>
      <w:r w:rsidR="00F87905" w:rsidRPr="00A159E1">
        <w:rPr>
          <w:color w:val="000000" w:themeColor="text1"/>
        </w:rPr>
        <w:t>was  confirmed</w:t>
      </w:r>
      <w:proofErr w:type="gramEnd"/>
      <w:r w:rsidR="00F87905" w:rsidRPr="00A159E1">
        <w:rPr>
          <w:color w:val="000000" w:themeColor="text1"/>
        </w:rPr>
        <w:t xml:space="preserve"> in April 2017 that there was an intermediate step in the code which was not documented in </w:t>
      </w:r>
      <w:r w:rsidR="00F87905" w:rsidRPr="00A159E1">
        <w:rPr>
          <w:rFonts w:cstheme="minorHAnsi"/>
          <w:b/>
          <w:i/>
          <w:iCs/>
          <w:color w:val="000000" w:themeColor="text1"/>
        </w:rPr>
        <w:t xml:space="preserve">FISHERIES/2017/FEB/SWG-DEM/07.  </w:t>
      </w:r>
      <w:r w:rsidR="00F87905" w:rsidRPr="00A159E1">
        <w:rPr>
          <w:color w:val="000000" w:themeColor="text1"/>
        </w:rPr>
        <w:t>This is that the selectiv</w:t>
      </w:r>
      <w:r w:rsidR="006730D5" w:rsidRPr="00A159E1">
        <w:rPr>
          <w:color w:val="000000" w:themeColor="text1"/>
        </w:rPr>
        <w:t>ity</w:t>
      </w:r>
      <w:r w:rsidR="00F87905" w:rsidRPr="00A159E1">
        <w:rPr>
          <w:color w:val="000000" w:themeColor="text1"/>
        </w:rPr>
        <w:t>-</w:t>
      </w:r>
      <w:r w:rsidR="00F87905" w:rsidRPr="00A159E1">
        <w:rPr>
          <w:b/>
          <w:color w:val="000000" w:themeColor="text1"/>
          <w:u w:val="single"/>
        </w:rPr>
        <w:t>at-age</w:t>
      </w:r>
      <w:r w:rsidR="00F87905" w:rsidRPr="00A159E1">
        <w:rPr>
          <w:color w:val="000000" w:themeColor="text1"/>
        </w:rPr>
        <w:t xml:space="preserve"> </w:t>
      </w:r>
      <w:r w:rsidR="00A159E1" w:rsidRPr="00A159E1">
        <w:rPr>
          <w:color w:val="000000" w:themeColor="text1"/>
        </w:rPr>
        <w:t>was</w:t>
      </w:r>
      <w:r w:rsidR="00F87905" w:rsidRPr="00A159E1">
        <w:rPr>
          <w:color w:val="000000" w:themeColor="text1"/>
        </w:rPr>
        <w:t xml:space="preserve"> used in the denominator of equation (8) as selectivity-at-age and not in the format shown in equation (9)</w:t>
      </w:r>
      <w:r w:rsidR="006730D5" w:rsidRPr="00A159E1">
        <w:rPr>
          <w:color w:val="000000" w:themeColor="text1"/>
        </w:rPr>
        <w:t xml:space="preserve">, </w:t>
      </w:r>
      <w:r w:rsidR="00F87905" w:rsidRPr="00A159E1">
        <w:rPr>
          <w:color w:val="000000" w:themeColor="text1"/>
        </w:rPr>
        <w:t xml:space="preserve">and that before applying the selectivity-at-age </w:t>
      </w:r>
      <w:r w:rsidR="006730D5" w:rsidRPr="00A159E1">
        <w:rPr>
          <w:color w:val="000000" w:themeColor="text1"/>
        </w:rPr>
        <w:t xml:space="preserve">from equation (8) </w:t>
      </w:r>
      <w:r w:rsidR="00F87905" w:rsidRPr="00A159E1">
        <w:rPr>
          <w:color w:val="000000" w:themeColor="text1"/>
        </w:rPr>
        <w:t xml:space="preserve">as the denominator in equation (9), this selectivity-at-age is </w:t>
      </w:r>
      <w:r w:rsidRPr="00A159E1">
        <w:rPr>
          <w:color w:val="000000" w:themeColor="text1"/>
        </w:rPr>
        <w:t>first “normalize</w:t>
      </w:r>
      <w:r w:rsidR="00F87905" w:rsidRPr="00A159E1">
        <w:rPr>
          <w:color w:val="000000" w:themeColor="text1"/>
        </w:rPr>
        <w:t>d</w:t>
      </w:r>
      <w:r w:rsidRPr="00A159E1">
        <w:rPr>
          <w:color w:val="000000" w:themeColor="text1"/>
        </w:rPr>
        <w:t>” by dividing all the selectivity-at-age values for a given year, fleet and gender by the maximum over all ages.  In the OL</w:t>
      </w:r>
      <w:r w:rsidR="006730D5" w:rsidRPr="00A159E1">
        <w:rPr>
          <w:color w:val="000000" w:themeColor="text1"/>
        </w:rPr>
        <w:t>SPS Marine</w:t>
      </w:r>
      <w:r w:rsidRPr="00A159E1">
        <w:rPr>
          <w:color w:val="000000" w:themeColor="text1"/>
        </w:rPr>
        <w:t xml:space="preserve"> calculations equation (9) </w:t>
      </w:r>
      <w:r w:rsidR="006730D5" w:rsidRPr="00A159E1">
        <w:rPr>
          <w:color w:val="000000" w:themeColor="text1"/>
        </w:rPr>
        <w:t>w</w:t>
      </w:r>
      <w:r w:rsidR="00F87905" w:rsidRPr="00A159E1">
        <w:rPr>
          <w:color w:val="000000" w:themeColor="text1"/>
        </w:rPr>
        <w:t>as</w:t>
      </w:r>
      <w:r w:rsidRPr="00A159E1">
        <w:rPr>
          <w:color w:val="000000" w:themeColor="text1"/>
        </w:rPr>
        <w:t xml:space="preserve"> applied directly</w:t>
      </w:r>
      <w:r w:rsidR="006730D5" w:rsidRPr="00A159E1">
        <w:rPr>
          <w:color w:val="000000" w:themeColor="text1"/>
        </w:rPr>
        <w:t xml:space="preserve"> as is, </w:t>
      </w:r>
      <w:r w:rsidRPr="00A159E1">
        <w:rPr>
          <w:color w:val="000000" w:themeColor="text1"/>
        </w:rPr>
        <w:t xml:space="preserve">so </w:t>
      </w:r>
      <w:r w:rsidR="006730D5" w:rsidRPr="00A159E1">
        <w:rPr>
          <w:color w:val="000000" w:themeColor="text1"/>
        </w:rPr>
        <w:t xml:space="preserve">no </w:t>
      </w:r>
      <w:r w:rsidRPr="00A159E1">
        <w:rPr>
          <w:color w:val="000000" w:themeColor="text1"/>
        </w:rPr>
        <w:t xml:space="preserve">intermediate normalization step </w:t>
      </w:r>
      <w:r w:rsidR="006730D5" w:rsidRPr="00A159E1">
        <w:rPr>
          <w:color w:val="000000" w:themeColor="text1"/>
        </w:rPr>
        <w:t xml:space="preserve">occurred, and this was the reason that this </w:t>
      </w:r>
      <w:proofErr w:type="gramStart"/>
      <w:r w:rsidR="006730D5" w:rsidRPr="00A159E1">
        <w:rPr>
          <w:color w:val="000000" w:themeColor="text1"/>
        </w:rPr>
        <w:t xml:space="preserve">particular </w:t>
      </w:r>
      <w:r w:rsidR="00F87905" w:rsidRPr="00A159E1">
        <w:rPr>
          <w:color w:val="000000" w:themeColor="text1"/>
        </w:rPr>
        <w:t>error</w:t>
      </w:r>
      <w:proofErr w:type="gramEnd"/>
      <w:r w:rsidR="00F87905" w:rsidRPr="00A159E1">
        <w:rPr>
          <w:color w:val="000000" w:themeColor="text1"/>
        </w:rPr>
        <w:t xml:space="preserve"> came to light.  </w:t>
      </w:r>
      <w:r w:rsidRPr="00A159E1">
        <w:rPr>
          <w:color w:val="000000" w:themeColor="text1"/>
        </w:rPr>
        <w:t>As a result</w:t>
      </w:r>
      <w:r w:rsidR="00F87905" w:rsidRPr="00A159E1">
        <w:rPr>
          <w:color w:val="000000" w:themeColor="text1"/>
        </w:rPr>
        <w:t>,</w:t>
      </w:r>
      <w:r w:rsidRPr="00A159E1">
        <w:rPr>
          <w:color w:val="000000" w:themeColor="text1"/>
        </w:rPr>
        <w:t xml:space="preserve"> the weights-at-age used by </w:t>
      </w:r>
      <w:r w:rsidR="006730D5" w:rsidRPr="00A159E1">
        <w:rPr>
          <w:color w:val="000000" w:themeColor="text1"/>
        </w:rPr>
        <w:t>OLSPS Marine</w:t>
      </w:r>
      <w:r w:rsidRPr="00A159E1">
        <w:rPr>
          <w:color w:val="000000" w:themeColor="text1"/>
        </w:rPr>
        <w:t xml:space="preserve"> for catch calculations all differ from </w:t>
      </w:r>
      <w:r w:rsidR="001A3C83" w:rsidRPr="00A159E1">
        <w:rPr>
          <w:color w:val="000000" w:themeColor="text1"/>
        </w:rPr>
        <w:t xml:space="preserve">those produced by </w:t>
      </w:r>
      <w:r w:rsidR="00F87905" w:rsidRPr="00A159E1">
        <w:rPr>
          <w:color w:val="000000" w:themeColor="text1"/>
        </w:rPr>
        <w:t xml:space="preserve">the code underlying the assessment model described in </w:t>
      </w:r>
      <w:r w:rsidR="00F87905" w:rsidRPr="00A159E1">
        <w:rPr>
          <w:rFonts w:cstheme="minorHAnsi"/>
          <w:b/>
          <w:i/>
          <w:iCs/>
          <w:color w:val="000000" w:themeColor="text1"/>
        </w:rPr>
        <w:t>FISHERIES/2017/FEB/SWG-DEM/</w:t>
      </w:r>
      <w:proofErr w:type="gramStart"/>
      <w:r w:rsidR="00F87905" w:rsidRPr="00A159E1">
        <w:rPr>
          <w:rFonts w:cstheme="minorHAnsi"/>
          <w:b/>
          <w:i/>
          <w:iCs/>
          <w:color w:val="000000" w:themeColor="text1"/>
        </w:rPr>
        <w:t>07</w:t>
      </w:r>
      <w:r w:rsidR="001A3C83" w:rsidRPr="00A159E1">
        <w:rPr>
          <w:rFonts w:cstheme="minorHAnsi"/>
          <w:b/>
          <w:i/>
          <w:iCs/>
          <w:color w:val="000000" w:themeColor="text1"/>
        </w:rPr>
        <w:t xml:space="preserve"> </w:t>
      </w:r>
      <w:r w:rsidR="001A3C83" w:rsidRPr="00A159E1">
        <w:rPr>
          <w:rFonts w:cstheme="minorHAnsi"/>
          <w:iCs/>
          <w:color w:val="000000" w:themeColor="text1"/>
        </w:rPr>
        <w:t xml:space="preserve"> by</w:t>
      </w:r>
      <w:proofErr w:type="gramEnd"/>
      <w:r w:rsidR="001A3C83" w:rsidRPr="00A159E1">
        <w:rPr>
          <w:rFonts w:cstheme="minorHAnsi"/>
          <w:iCs/>
          <w:color w:val="000000" w:themeColor="text1"/>
        </w:rPr>
        <w:t xml:space="preserve"> the</w:t>
      </w:r>
      <w:r w:rsidR="001A3C83" w:rsidRPr="00A159E1">
        <w:rPr>
          <w:color w:val="000000" w:themeColor="text1"/>
        </w:rPr>
        <w:t xml:space="preserve"> </w:t>
      </w:r>
      <w:r w:rsidRPr="00A159E1">
        <w:rPr>
          <w:color w:val="000000" w:themeColor="text1"/>
        </w:rPr>
        <w:t xml:space="preserve">normalization </w:t>
      </w:r>
      <w:r w:rsidR="006730D5" w:rsidRPr="00A159E1">
        <w:rPr>
          <w:color w:val="000000" w:themeColor="text1"/>
        </w:rPr>
        <w:t>factor</w:t>
      </w:r>
      <w:r w:rsidRPr="00A159E1">
        <w:rPr>
          <w:color w:val="000000" w:themeColor="text1"/>
        </w:rPr>
        <w:t xml:space="preserve"> used in the intermediate step.  This </w:t>
      </w:r>
      <w:r w:rsidR="001A3C83" w:rsidRPr="00A159E1">
        <w:rPr>
          <w:color w:val="000000" w:themeColor="text1"/>
        </w:rPr>
        <w:t xml:space="preserve">was confirmed by numerical comparison.  </w:t>
      </w:r>
      <w:r w:rsidRPr="00A159E1">
        <w:rPr>
          <w:color w:val="000000" w:themeColor="text1"/>
        </w:rPr>
        <w:t xml:space="preserve">These differences can be quite large (~6%) but vary depending on the relationship between selectivity and length.  It seems self-evident that the intermediate step is incorrect, but </w:t>
      </w:r>
      <w:r w:rsidR="001A3C83" w:rsidRPr="00A159E1">
        <w:rPr>
          <w:color w:val="000000" w:themeColor="text1"/>
        </w:rPr>
        <w:t>b</w:t>
      </w:r>
      <w:r w:rsidRPr="00A159E1">
        <w:rPr>
          <w:rFonts w:eastAsia="Times New Roman"/>
          <w:color w:val="000000" w:themeColor="text1"/>
        </w:rPr>
        <w:t>ecause the normalisation factors differ by fleet, gender and species, it</w:t>
      </w:r>
      <w:r w:rsidR="001A3C83" w:rsidRPr="00A159E1">
        <w:rPr>
          <w:rFonts w:eastAsia="Times New Roman"/>
          <w:color w:val="000000" w:themeColor="text1"/>
        </w:rPr>
        <w:t xml:space="preserve"> is difficult to anticipate the resultant </w:t>
      </w:r>
      <w:r w:rsidRPr="00A159E1">
        <w:rPr>
          <w:rFonts w:eastAsia="Times New Roman"/>
          <w:color w:val="000000" w:themeColor="text1"/>
        </w:rPr>
        <w:t>impact on the assessment</w:t>
      </w:r>
      <w:r w:rsidR="001A3C83" w:rsidRPr="00A159E1">
        <w:rPr>
          <w:rFonts w:eastAsia="Times New Roman"/>
          <w:color w:val="000000" w:themeColor="text1"/>
        </w:rPr>
        <w:t xml:space="preserve"> after omitting this intermediate normalisation step.  </w:t>
      </w:r>
      <w:r w:rsidRPr="00A159E1">
        <w:rPr>
          <w:rFonts w:eastAsia="Times New Roman"/>
          <w:color w:val="000000" w:themeColor="text1"/>
        </w:rPr>
        <w:t> </w:t>
      </w:r>
    </w:p>
    <w:p w:rsidR="00C67EEE" w:rsidRDefault="006730D5" w:rsidP="00E552C4">
      <w:pPr>
        <w:spacing w:before="120" w:after="120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REF _Ref531115728 \h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6730D5">
        <w:rPr>
          <w:color w:val="000000" w:themeColor="text1"/>
        </w:rPr>
        <w:t xml:space="preserve">Figure </w:t>
      </w:r>
      <w:r w:rsidRPr="006730D5">
        <w:rPr>
          <w:noProof/>
          <w:color w:val="000000" w:themeColor="text1"/>
        </w:rPr>
        <w:t>1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4E1057">
        <w:rPr>
          <w:color w:val="000000"/>
        </w:rPr>
        <w:t xml:space="preserve">and </w:t>
      </w:r>
      <w:r w:rsidR="004E1057">
        <w:rPr>
          <w:color w:val="000000"/>
        </w:rPr>
        <w:fldChar w:fldCharType="begin"/>
      </w:r>
      <w:r w:rsidR="004E1057">
        <w:rPr>
          <w:color w:val="000000"/>
        </w:rPr>
        <w:instrText xml:space="preserve"> REF _Ref531115737 \h </w:instrText>
      </w:r>
      <w:r w:rsidR="004E1057">
        <w:rPr>
          <w:color w:val="000000"/>
        </w:rPr>
      </w:r>
      <w:r w:rsidR="004E1057">
        <w:rPr>
          <w:color w:val="000000"/>
        </w:rPr>
        <w:fldChar w:fldCharType="separate"/>
      </w:r>
      <w:r w:rsidR="004E1057" w:rsidRPr="006730D5">
        <w:rPr>
          <w:color w:val="000000" w:themeColor="text1"/>
        </w:rPr>
        <w:t xml:space="preserve">Table </w:t>
      </w:r>
      <w:r w:rsidR="004E1057" w:rsidRPr="006730D5">
        <w:rPr>
          <w:noProof/>
          <w:color w:val="000000" w:themeColor="text1"/>
        </w:rPr>
        <w:t>1</w:t>
      </w:r>
      <w:r w:rsidR="004E1057">
        <w:rPr>
          <w:color w:val="000000"/>
        </w:rPr>
        <w:fldChar w:fldCharType="end"/>
      </w:r>
      <w:r w:rsidR="004E1057">
        <w:rPr>
          <w:color w:val="000000"/>
        </w:rPr>
        <w:t xml:space="preserve"> </w:t>
      </w:r>
      <w:r>
        <w:rPr>
          <w:color w:val="000000"/>
        </w:rPr>
        <w:t>illustrate what happens to the stock assessment results when the code underlying equation (9) is corrected</w:t>
      </w:r>
      <w:r w:rsidR="00E552C4">
        <w:rPr>
          <w:color w:val="000000"/>
        </w:rPr>
        <w:t xml:space="preserve"> for the ‘circa April 2017’ error</w:t>
      </w:r>
      <w:r>
        <w:rPr>
          <w:color w:val="000000"/>
        </w:rPr>
        <w:t xml:space="preserve">.  </w:t>
      </w:r>
      <w:r w:rsidR="004E1057">
        <w:rPr>
          <w:color w:val="000000"/>
        </w:rPr>
        <w:t xml:space="preserve">The impact is slight in most cases, except in </w:t>
      </w:r>
      <w:r w:rsidR="00C67EEE">
        <w:rPr>
          <w:color w:val="000000"/>
        </w:rPr>
        <w:t xml:space="preserve">one very important respect, </w:t>
      </w:r>
      <w:r w:rsidR="004E1057">
        <w:rPr>
          <w:color w:val="000000"/>
        </w:rPr>
        <w:t xml:space="preserve">the estimate of </w:t>
      </w:r>
      <w:r w:rsidR="00C67EEE">
        <w:rPr>
          <w:color w:val="000000"/>
        </w:rPr>
        <w:t>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. The concern with </w:t>
      </w:r>
      <w:r w:rsidR="004E1057">
        <w:rPr>
          <w:color w:val="000000"/>
        </w:rPr>
        <w:t xml:space="preserve">the </w:t>
      </w:r>
      <w:r w:rsidR="00C67EEE">
        <w:rPr>
          <w:color w:val="000000"/>
        </w:rPr>
        <w:t xml:space="preserve">updated reference case </w:t>
      </w:r>
      <w:r w:rsidR="004E1057">
        <w:rPr>
          <w:color w:val="000000"/>
        </w:rPr>
        <w:t xml:space="preserve">circa April 2017 prior to this correction </w:t>
      </w:r>
      <w:r w:rsidR="00C67EEE">
        <w:rPr>
          <w:color w:val="000000"/>
        </w:rPr>
        <w:t xml:space="preserve">had been that </w:t>
      </w:r>
      <w:r w:rsidR="004E1057" w:rsidRPr="004E1057">
        <w:rPr>
          <w:b/>
          <w:i/>
          <w:color w:val="000000"/>
        </w:rPr>
        <w:t xml:space="preserve">M. </w:t>
      </w:r>
      <w:r w:rsidR="00C67EEE" w:rsidRPr="004E1057">
        <w:rPr>
          <w:b/>
          <w:i/>
          <w:color w:val="000000"/>
        </w:rPr>
        <w:t>paradoxus</w:t>
      </w:r>
      <w:r w:rsidR="00C67EEE">
        <w:rPr>
          <w:color w:val="000000"/>
        </w:rPr>
        <w:t xml:space="preserve"> never reached 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, unlike for the preceding </w:t>
      </w:r>
      <w:r w:rsidR="00C67EEE">
        <w:rPr>
          <w:color w:val="000000"/>
        </w:rPr>
        <w:lastRenderedPageBreak/>
        <w:t xml:space="preserve">assessment, and this had major implications for the coming MSC audit. </w:t>
      </w:r>
      <w:r w:rsidR="004E1057">
        <w:rPr>
          <w:color w:val="000000"/>
        </w:rPr>
        <w:t xml:space="preserve"> </w:t>
      </w:r>
      <w:proofErr w:type="gramStart"/>
      <w:r w:rsidR="00C67EEE">
        <w:rPr>
          <w:color w:val="000000"/>
        </w:rPr>
        <w:t>However</w:t>
      </w:r>
      <w:proofErr w:type="gramEnd"/>
      <w:r w:rsidR="00C67EEE">
        <w:rPr>
          <w:color w:val="000000"/>
        </w:rPr>
        <w:t xml:space="preserve"> </w:t>
      </w:r>
      <w:r w:rsidR="004E1057">
        <w:rPr>
          <w:color w:val="000000"/>
        </w:rPr>
        <w:t xml:space="preserve">the corrected results showed that </w:t>
      </w:r>
      <w:r w:rsidR="00C67EEE">
        <w:rPr>
          <w:color w:val="000000"/>
        </w:rPr>
        <w:t>instead of reaching only 0.89 of 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 in 2013, </w:t>
      </w:r>
      <w:r w:rsidR="004E1057" w:rsidRPr="004E1057">
        <w:rPr>
          <w:b/>
          <w:i/>
          <w:color w:val="000000"/>
        </w:rPr>
        <w:t>M. paradoxus</w:t>
      </w:r>
      <w:r w:rsidR="00C67EEE">
        <w:rPr>
          <w:color w:val="000000"/>
        </w:rPr>
        <w:t xml:space="preserve"> </w:t>
      </w:r>
      <w:r w:rsidR="004E1057">
        <w:rPr>
          <w:color w:val="000000"/>
        </w:rPr>
        <w:t>was estimate</w:t>
      </w:r>
      <w:r w:rsidR="00A159E1">
        <w:rPr>
          <w:color w:val="000000"/>
        </w:rPr>
        <w:t>d</w:t>
      </w:r>
      <w:r w:rsidR="004E1057">
        <w:rPr>
          <w:color w:val="000000"/>
        </w:rPr>
        <w:t xml:space="preserve"> as </w:t>
      </w:r>
      <w:r w:rsidR="00C67EEE">
        <w:rPr>
          <w:color w:val="000000"/>
        </w:rPr>
        <w:t xml:space="preserve">having reached 1.04 of </w:t>
      </w:r>
      <w:r w:rsidR="004E1057">
        <w:rPr>
          <w:color w:val="000000"/>
        </w:rPr>
        <w:t>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 in 2013. </w:t>
      </w:r>
      <w:r w:rsidR="004E1057">
        <w:rPr>
          <w:color w:val="000000"/>
        </w:rPr>
        <w:t xml:space="preserve"> Under these </w:t>
      </w:r>
      <w:r w:rsidR="00C67EEE">
        <w:rPr>
          <w:color w:val="000000"/>
        </w:rPr>
        <w:t xml:space="preserve">circumstances, </w:t>
      </w:r>
      <w:r w:rsidR="004E1057">
        <w:rPr>
          <w:color w:val="000000"/>
        </w:rPr>
        <w:t xml:space="preserve">the </w:t>
      </w:r>
      <w:r w:rsidR="00C67EEE">
        <w:rPr>
          <w:color w:val="000000"/>
        </w:rPr>
        <w:t>immediate concerns</w:t>
      </w:r>
      <w:r w:rsidR="004E1057">
        <w:rPr>
          <w:color w:val="000000"/>
        </w:rPr>
        <w:t xml:space="preserve"> at the time</w:t>
      </w:r>
      <w:r w:rsidR="00C67EEE">
        <w:rPr>
          <w:color w:val="000000"/>
        </w:rPr>
        <w:t xml:space="preserve"> </w:t>
      </w:r>
      <w:r w:rsidR="004E1057">
        <w:rPr>
          <w:color w:val="000000"/>
        </w:rPr>
        <w:t xml:space="preserve">regarding </w:t>
      </w:r>
      <w:r w:rsidR="004E1057" w:rsidRPr="004E1057">
        <w:rPr>
          <w:b/>
          <w:i/>
          <w:color w:val="000000"/>
        </w:rPr>
        <w:t>M. paradoxus</w:t>
      </w:r>
      <w:r w:rsidR="004E1057">
        <w:rPr>
          <w:color w:val="000000"/>
        </w:rPr>
        <w:t xml:space="preserve"> were</w:t>
      </w:r>
      <w:r w:rsidR="00A159E1">
        <w:rPr>
          <w:color w:val="000000"/>
        </w:rPr>
        <w:t xml:space="preserve"> </w:t>
      </w:r>
      <w:r w:rsidR="00C67EEE">
        <w:rPr>
          <w:color w:val="000000"/>
        </w:rPr>
        <w:t>addressed</w:t>
      </w:r>
      <w:r w:rsidR="004E1057">
        <w:rPr>
          <w:color w:val="000000"/>
        </w:rPr>
        <w:t xml:space="preserve">.  For the </w:t>
      </w:r>
      <w:r w:rsidR="00C67EEE">
        <w:rPr>
          <w:color w:val="000000"/>
        </w:rPr>
        <w:t>MSC the situation remain</w:t>
      </w:r>
      <w:r w:rsidR="004E1057">
        <w:rPr>
          <w:color w:val="000000"/>
        </w:rPr>
        <w:t>ed</w:t>
      </w:r>
      <w:r w:rsidR="00C67EEE">
        <w:rPr>
          <w:color w:val="000000"/>
        </w:rPr>
        <w:t xml:space="preserve"> unchanged, viz. </w:t>
      </w:r>
      <w:r w:rsidR="004E1057" w:rsidRPr="004E1057">
        <w:rPr>
          <w:b/>
          <w:i/>
          <w:color w:val="000000"/>
        </w:rPr>
        <w:t xml:space="preserve">M. </w:t>
      </w:r>
      <w:r w:rsidR="00C67EEE" w:rsidRPr="004E1057">
        <w:rPr>
          <w:b/>
          <w:i/>
          <w:color w:val="000000"/>
        </w:rPr>
        <w:t>paradoxus</w:t>
      </w:r>
      <w:r w:rsidR="00C67EEE">
        <w:rPr>
          <w:color w:val="000000"/>
        </w:rPr>
        <w:t xml:space="preserve"> ha</w:t>
      </w:r>
      <w:r w:rsidR="004E1057">
        <w:rPr>
          <w:color w:val="000000"/>
        </w:rPr>
        <w:t>d</w:t>
      </w:r>
      <w:r w:rsidR="00C67EEE">
        <w:rPr>
          <w:color w:val="000000"/>
        </w:rPr>
        <w:t xml:space="preserve"> reached and </w:t>
      </w:r>
      <w:r w:rsidR="004E1057">
        <w:rPr>
          <w:color w:val="000000"/>
        </w:rPr>
        <w:t>was</w:t>
      </w:r>
      <w:r w:rsidR="00C67EEE">
        <w:rPr>
          <w:color w:val="000000"/>
        </w:rPr>
        <w:t xml:space="preserve"> now fluctuating around </w:t>
      </w:r>
      <w:r w:rsidR="004E1057">
        <w:rPr>
          <w:color w:val="000000"/>
        </w:rPr>
        <w:t>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, rather than having never reached </w:t>
      </w:r>
      <w:r w:rsidR="004E1057">
        <w:rPr>
          <w:color w:val="000000"/>
        </w:rPr>
        <w:t>B</w:t>
      </w:r>
      <w:r w:rsidR="004E1057" w:rsidRPr="004E1057">
        <w:rPr>
          <w:color w:val="000000"/>
          <w:vertAlign w:val="subscript"/>
        </w:rPr>
        <w:t>MSY</w:t>
      </w:r>
      <w:r w:rsidR="00C67EEE">
        <w:rPr>
          <w:color w:val="000000"/>
        </w:rPr>
        <w:t xml:space="preserve"> and </w:t>
      </w:r>
      <w:r w:rsidR="00AC6957">
        <w:rPr>
          <w:color w:val="000000"/>
        </w:rPr>
        <w:t>perhaps</w:t>
      </w:r>
      <w:r w:rsidR="00C67EEE">
        <w:rPr>
          <w:color w:val="000000"/>
        </w:rPr>
        <w:t xml:space="preserve"> requiring a reversion by </w:t>
      </w:r>
      <w:r w:rsidR="00AC6957">
        <w:rPr>
          <w:color w:val="000000"/>
        </w:rPr>
        <w:t xml:space="preserve">the </w:t>
      </w:r>
      <w:r w:rsidR="00C67EEE">
        <w:rPr>
          <w:color w:val="000000"/>
        </w:rPr>
        <w:t xml:space="preserve">MSC to requiring a revised catch control law (OMP) to </w:t>
      </w:r>
      <w:proofErr w:type="gramStart"/>
      <w:r w:rsidR="00C67EEE">
        <w:rPr>
          <w:color w:val="000000"/>
        </w:rPr>
        <w:t>effect</w:t>
      </w:r>
      <w:proofErr w:type="gramEnd"/>
      <w:r w:rsidR="00C67EEE">
        <w:rPr>
          <w:color w:val="000000"/>
        </w:rPr>
        <w:t xml:space="preserve"> a “recovery plan”.</w:t>
      </w:r>
    </w:p>
    <w:p w:rsidR="00E552C4" w:rsidRDefault="00E552C4" w:rsidP="00E552C4">
      <w:pPr>
        <w:spacing w:before="120" w:after="120"/>
        <w:rPr>
          <w:rFonts w:cstheme="minorHAnsi"/>
          <w:iCs/>
          <w:color w:val="000000" w:themeColor="text1"/>
        </w:rPr>
      </w:pPr>
      <w:r>
        <w:rPr>
          <w:color w:val="000000"/>
        </w:rPr>
        <w:t xml:space="preserve">A second issue with the code was discovered in January 2018 and was corrected at about the same time.  This involved equation (14) of </w:t>
      </w:r>
      <w:r w:rsidRPr="00A159E1">
        <w:rPr>
          <w:rFonts w:cstheme="minorHAnsi"/>
          <w:b/>
          <w:i/>
          <w:iCs/>
          <w:color w:val="000000" w:themeColor="text1"/>
        </w:rPr>
        <w:t>FISHERIES/2017/FEB/SWG-DEM/07</w:t>
      </w:r>
      <w:r>
        <w:rPr>
          <w:rFonts w:cstheme="minorHAnsi"/>
          <w:b/>
          <w:i/>
          <w:iCs/>
          <w:color w:val="000000" w:themeColor="text1"/>
        </w:rPr>
        <w:t xml:space="preserve"> </w:t>
      </w:r>
      <w:r w:rsidRPr="00E552C4">
        <w:rPr>
          <w:rFonts w:cstheme="minorHAnsi"/>
          <w:iCs/>
          <w:color w:val="000000" w:themeColor="text1"/>
        </w:rPr>
        <w:t>which is shown in the following excerpt:</w:t>
      </w:r>
    </w:p>
    <w:p w:rsidR="00E552C4" w:rsidRDefault="00E552C4" w:rsidP="00E552C4">
      <w:pPr>
        <w:spacing w:before="120" w:after="1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767362" cy="990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34" cy="99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2C4" w:rsidRDefault="00E552C4" w:rsidP="00E552C4">
      <w:pPr>
        <w:spacing w:before="120" w:after="120"/>
        <w:rPr>
          <w:rFonts w:eastAsiaTheme="minorEastAsia"/>
          <w:color w:val="000000"/>
        </w:rPr>
      </w:pPr>
      <w:r>
        <w:rPr>
          <w:color w:val="000000"/>
        </w:rPr>
        <w:t xml:space="preserve">Correction of equation (14) requires omitting the term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S</m:t>
            </m:r>
          </m:e>
          <m:sub>
            <m:r>
              <w:rPr>
                <w:rFonts w:ascii="Cambria Math" w:hAnsi="Cambria Math"/>
                <w:color w:val="000000"/>
              </w:rPr>
              <m:t>a</m:t>
            </m:r>
          </m:sub>
          <m:sup>
            <m:r>
              <w:rPr>
                <w:rFonts w:ascii="Cambria Math" w:hAnsi="Cambria Math"/>
                <w:color w:val="000000"/>
              </w:rPr>
              <m:t>g</m:t>
            </m:r>
          </m:sup>
        </m:sSubSup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F</m:t>
            </m:r>
          </m:e>
          <m:sup>
            <m:r>
              <w:rPr>
                <w:rFonts w:ascii="Cambria Math" w:hAnsi="Cambria Math"/>
                <w:color w:val="000000"/>
              </w:rPr>
              <m:t>*</m:t>
            </m:r>
          </m:sup>
        </m:sSup>
      </m:oMath>
      <w:r>
        <w:rPr>
          <w:rFonts w:eastAsiaTheme="minorEastAsia"/>
          <w:color w:val="000000"/>
        </w:rPr>
        <w:t xml:space="preserve"> in the exponent.  This correction has no impact on the assessment, but it changes the values of MSY (increases it) and it decreases the value of B</w:t>
      </w:r>
      <w:r w:rsidRPr="00E552C4">
        <w:rPr>
          <w:rFonts w:eastAsiaTheme="minorEastAsia"/>
          <w:color w:val="000000"/>
          <w:vertAlign w:val="subscript"/>
        </w:rPr>
        <w:t>MSY</w:t>
      </w:r>
      <w:r>
        <w:rPr>
          <w:rFonts w:eastAsiaTheme="minorEastAsia"/>
          <w:color w:val="000000"/>
        </w:rPr>
        <w:t xml:space="preserve">.  These impacts are not documented here.  </w:t>
      </w:r>
    </w:p>
    <w:p w:rsidR="002A202E" w:rsidRDefault="002A202E" w:rsidP="00E552C4">
      <w:pPr>
        <w:spacing w:before="120" w:after="120"/>
        <w:rPr>
          <w:color w:val="000000"/>
        </w:rPr>
      </w:pPr>
    </w:p>
    <w:p w:rsidR="00AC6957" w:rsidRPr="006730D5" w:rsidRDefault="00AC6957" w:rsidP="00AC6957">
      <w:pPr>
        <w:pStyle w:val="Caption"/>
        <w:keepNext/>
        <w:jc w:val="center"/>
        <w:rPr>
          <w:color w:val="000000" w:themeColor="text1"/>
          <w:sz w:val="22"/>
          <w:szCs w:val="22"/>
        </w:rPr>
      </w:pPr>
      <w:bookmarkStart w:id="1" w:name="_Ref531115737"/>
      <w:r w:rsidRPr="006730D5">
        <w:rPr>
          <w:color w:val="000000" w:themeColor="text1"/>
          <w:sz w:val="22"/>
          <w:szCs w:val="22"/>
        </w:rPr>
        <w:t xml:space="preserve">Table </w:t>
      </w:r>
      <w:r w:rsidRPr="006730D5">
        <w:rPr>
          <w:color w:val="000000" w:themeColor="text1"/>
          <w:sz w:val="22"/>
          <w:szCs w:val="22"/>
        </w:rPr>
        <w:fldChar w:fldCharType="begin"/>
      </w:r>
      <w:r w:rsidRPr="006730D5">
        <w:rPr>
          <w:color w:val="000000" w:themeColor="text1"/>
          <w:sz w:val="22"/>
          <w:szCs w:val="22"/>
        </w:rPr>
        <w:instrText xml:space="preserve"> SEQ Table \* ARABIC </w:instrText>
      </w:r>
      <w:r w:rsidRPr="006730D5">
        <w:rPr>
          <w:color w:val="000000" w:themeColor="text1"/>
          <w:sz w:val="22"/>
          <w:szCs w:val="22"/>
        </w:rPr>
        <w:fldChar w:fldCharType="separate"/>
      </w:r>
      <w:r w:rsidRPr="006730D5">
        <w:rPr>
          <w:noProof/>
          <w:color w:val="000000" w:themeColor="text1"/>
          <w:sz w:val="22"/>
          <w:szCs w:val="22"/>
        </w:rPr>
        <w:t>1</w:t>
      </w:r>
      <w:r w:rsidRPr="006730D5">
        <w:rPr>
          <w:color w:val="000000" w:themeColor="text1"/>
          <w:sz w:val="22"/>
          <w:szCs w:val="22"/>
        </w:rPr>
        <w:fldChar w:fldCharType="end"/>
      </w:r>
      <w:bookmarkEnd w:id="1"/>
      <w:r w:rsidRPr="006730D5">
        <w:rPr>
          <w:color w:val="000000" w:themeColor="text1"/>
          <w:sz w:val="22"/>
          <w:szCs w:val="22"/>
        </w:rPr>
        <w:t>.  Impact of correction to equation (9) of FISHERIES/2017/FEB/SWG-DEM/07</w:t>
      </w:r>
      <w:r w:rsidR="00A159E1">
        <w:rPr>
          <w:color w:val="000000" w:themeColor="text1"/>
          <w:sz w:val="22"/>
          <w:szCs w:val="22"/>
        </w:rPr>
        <w:t xml:space="preserve">. </w:t>
      </w:r>
    </w:p>
    <w:p w:rsidR="00AC6957" w:rsidRDefault="00AC6957" w:rsidP="00A159E1">
      <w:pPr>
        <w:jc w:val="center"/>
      </w:pPr>
      <w:r w:rsidRPr="00992370">
        <w:rPr>
          <w:noProof/>
          <w:lang w:eastAsia="en-ZA"/>
        </w:rPr>
        <w:drawing>
          <wp:inline distT="0" distB="0" distL="0" distR="0" wp14:anchorId="67D6135E" wp14:editId="1AB1E7F6">
            <wp:extent cx="3042000" cy="1922400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000" cy="19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2E" w:rsidRDefault="002A202E" w:rsidP="00AC6957">
      <w:pPr>
        <w:keepNext/>
        <w:jc w:val="center"/>
      </w:pPr>
    </w:p>
    <w:p w:rsidR="002A202E" w:rsidRDefault="002A202E" w:rsidP="00AC6957">
      <w:pPr>
        <w:keepNext/>
        <w:jc w:val="center"/>
      </w:pPr>
    </w:p>
    <w:p w:rsidR="006730D5" w:rsidRDefault="00F23001" w:rsidP="00AC6957">
      <w:pPr>
        <w:keepNext/>
        <w:jc w:val="center"/>
      </w:pPr>
      <w:r w:rsidRPr="00F23001">
        <w:rPr>
          <w:noProof/>
          <w:lang w:eastAsia="en-ZA"/>
        </w:rPr>
        <w:drawing>
          <wp:inline distT="0" distB="0" distL="0" distR="0" wp14:anchorId="14670864" wp14:editId="66CE3616">
            <wp:extent cx="5731510" cy="4803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E00" w:rsidRPr="006730D5" w:rsidRDefault="006730D5" w:rsidP="00AC6957">
      <w:pPr>
        <w:pStyle w:val="Caption"/>
        <w:jc w:val="center"/>
        <w:rPr>
          <w:color w:val="000000" w:themeColor="text1"/>
          <w:sz w:val="22"/>
          <w:szCs w:val="22"/>
        </w:rPr>
      </w:pPr>
      <w:bookmarkStart w:id="2" w:name="_Ref531115728"/>
      <w:r w:rsidRPr="006730D5">
        <w:rPr>
          <w:color w:val="000000" w:themeColor="text1"/>
          <w:sz w:val="22"/>
          <w:szCs w:val="22"/>
        </w:rPr>
        <w:t xml:space="preserve">Figure </w:t>
      </w:r>
      <w:r w:rsidRPr="006730D5">
        <w:rPr>
          <w:color w:val="000000" w:themeColor="text1"/>
          <w:sz w:val="22"/>
          <w:szCs w:val="22"/>
        </w:rPr>
        <w:fldChar w:fldCharType="begin"/>
      </w:r>
      <w:r w:rsidRPr="006730D5">
        <w:rPr>
          <w:color w:val="000000" w:themeColor="text1"/>
          <w:sz w:val="22"/>
          <w:szCs w:val="22"/>
        </w:rPr>
        <w:instrText xml:space="preserve"> SEQ Figure \* ARABIC </w:instrText>
      </w:r>
      <w:r w:rsidRPr="006730D5">
        <w:rPr>
          <w:color w:val="000000" w:themeColor="text1"/>
          <w:sz w:val="22"/>
          <w:szCs w:val="22"/>
        </w:rPr>
        <w:fldChar w:fldCharType="separate"/>
      </w:r>
      <w:r w:rsidRPr="006730D5">
        <w:rPr>
          <w:noProof/>
          <w:color w:val="000000" w:themeColor="text1"/>
          <w:sz w:val="22"/>
          <w:szCs w:val="22"/>
        </w:rPr>
        <w:t>1</w:t>
      </w:r>
      <w:r w:rsidRPr="006730D5">
        <w:rPr>
          <w:color w:val="000000" w:themeColor="text1"/>
          <w:sz w:val="22"/>
          <w:szCs w:val="22"/>
        </w:rPr>
        <w:fldChar w:fldCharType="end"/>
      </w:r>
      <w:bookmarkEnd w:id="2"/>
      <w:r w:rsidRPr="006730D5">
        <w:rPr>
          <w:color w:val="000000" w:themeColor="text1"/>
          <w:sz w:val="22"/>
          <w:szCs w:val="22"/>
        </w:rPr>
        <w:t>.  Impact of correction to equation (9) of FISHERIES/2017/FEB/SWG-DEM/07.</w:t>
      </w:r>
    </w:p>
    <w:sectPr w:rsidR="000B5E00" w:rsidRPr="006730D5" w:rsidSect="00D535C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5A5" w:rsidRDefault="002105A5" w:rsidP="00D535CC">
      <w:pPr>
        <w:spacing w:after="0" w:line="240" w:lineRule="auto"/>
      </w:pPr>
      <w:r>
        <w:separator/>
      </w:r>
    </w:p>
  </w:endnote>
  <w:endnote w:type="continuationSeparator" w:id="0">
    <w:p w:rsidR="002105A5" w:rsidRDefault="002105A5" w:rsidP="00D5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385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5CC" w:rsidRDefault="00D53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5CC" w:rsidRDefault="00D5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5A5" w:rsidRDefault="002105A5" w:rsidP="00D535CC">
      <w:pPr>
        <w:spacing w:after="0" w:line="240" w:lineRule="auto"/>
      </w:pPr>
      <w:r>
        <w:separator/>
      </w:r>
    </w:p>
  </w:footnote>
  <w:footnote w:type="continuationSeparator" w:id="0">
    <w:p w:rsidR="002105A5" w:rsidRDefault="002105A5" w:rsidP="00D5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CC" w:rsidRPr="00D535CC" w:rsidRDefault="00C228F8" w:rsidP="00D535CC">
    <w:pPr>
      <w:pStyle w:val="Header"/>
      <w:jc w:val="right"/>
      <w:rPr>
        <w:sz w:val="22"/>
      </w:rPr>
    </w:pPr>
    <w:r>
      <w:rPr>
        <w:sz w:val="22"/>
      </w:rPr>
      <w:t>MARAM/IWS/2018/Hake/WP4</w:t>
    </w:r>
  </w:p>
  <w:p w:rsidR="00D535CC" w:rsidRDefault="00D53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76688"/>
    <w:multiLevelType w:val="multilevel"/>
    <w:tmpl w:val="9424A200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947927"/>
    <w:multiLevelType w:val="multilevel"/>
    <w:tmpl w:val="49ACC7D6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AB0559"/>
    <w:multiLevelType w:val="multilevel"/>
    <w:tmpl w:val="B43E1C3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24"/>
    <w:rsid w:val="000B5E00"/>
    <w:rsid w:val="001A3C83"/>
    <w:rsid w:val="002105A5"/>
    <w:rsid w:val="00296524"/>
    <w:rsid w:val="002A202E"/>
    <w:rsid w:val="0033544A"/>
    <w:rsid w:val="003F1C86"/>
    <w:rsid w:val="00430D7C"/>
    <w:rsid w:val="004E1057"/>
    <w:rsid w:val="00562316"/>
    <w:rsid w:val="006730D5"/>
    <w:rsid w:val="006B7490"/>
    <w:rsid w:val="006D4B48"/>
    <w:rsid w:val="0075773B"/>
    <w:rsid w:val="007F5313"/>
    <w:rsid w:val="00853768"/>
    <w:rsid w:val="00992370"/>
    <w:rsid w:val="00A159E1"/>
    <w:rsid w:val="00A22B32"/>
    <w:rsid w:val="00AC6957"/>
    <w:rsid w:val="00AE7857"/>
    <w:rsid w:val="00B47C5C"/>
    <w:rsid w:val="00BC1AA3"/>
    <w:rsid w:val="00C04822"/>
    <w:rsid w:val="00C228F8"/>
    <w:rsid w:val="00C67EEE"/>
    <w:rsid w:val="00CA3032"/>
    <w:rsid w:val="00CD1495"/>
    <w:rsid w:val="00CD24C2"/>
    <w:rsid w:val="00D535CC"/>
    <w:rsid w:val="00DB58DD"/>
    <w:rsid w:val="00DF4154"/>
    <w:rsid w:val="00E24983"/>
    <w:rsid w:val="00E2618E"/>
    <w:rsid w:val="00E552C4"/>
    <w:rsid w:val="00EF2600"/>
    <w:rsid w:val="00F23001"/>
    <w:rsid w:val="00F42D7D"/>
    <w:rsid w:val="00F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A274D"/>
  <w15:docId w15:val="{4FF422EE-1D2C-415A-9363-BF01C1E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67E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905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87905"/>
    <w:rPr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6730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CC"/>
  </w:style>
  <w:style w:type="character" w:styleId="PlaceholderText">
    <w:name w:val="Placeholder Text"/>
    <w:basedOn w:val="DefaultParagraphFont"/>
    <w:uiPriority w:val="99"/>
    <w:semiHidden/>
    <w:rsid w:val="00E55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rademeyer</dc:creator>
  <cp:lastModifiedBy>Melissa Jacobs</cp:lastModifiedBy>
  <cp:revision>2</cp:revision>
  <dcterms:created xsi:type="dcterms:W3CDTF">2018-11-28T07:04:00Z</dcterms:created>
  <dcterms:modified xsi:type="dcterms:W3CDTF">2018-11-28T07:04:00Z</dcterms:modified>
</cp:coreProperties>
</file>