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3210" w14:textId="1909F315" w:rsidR="005A3591" w:rsidRDefault="00E03078" w:rsidP="001767EF">
      <w:pPr>
        <w:pStyle w:val="Heading1"/>
      </w:pPr>
      <w:bookmarkStart w:id="0" w:name="_GoBack"/>
      <w:bookmarkEnd w:id="0"/>
      <w:r>
        <w:t>Comparison of the hake RC OM with the whole RS</w:t>
      </w:r>
    </w:p>
    <w:p w14:paraId="13C87883" w14:textId="200029DE" w:rsidR="000123C4" w:rsidRDefault="000123C4" w:rsidP="000123C4">
      <w:pPr>
        <w:jc w:val="center"/>
        <w:rPr>
          <w:i/>
        </w:rPr>
      </w:pPr>
      <w:r>
        <w:rPr>
          <w:i/>
        </w:rPr>
        <w:t>A. Ross-Gillespie</w:t>
      </w:r>
      <w:r w:rsidR="00F4060B">
        <w:rPr>
          <w:i/>
        </w:rPr>
        <w:t xml:space="preserve"> and D.S. Butterworth</w:t>
      </w:r>
      <w:r>
        <w:rPr>
          <w:rStyle w:val="FootnoteReference"/>
          <w:i/>
        </w:rPr>
        <w:footnoteReference w:id="1"/>
      </w:r>
    </w:p>
    <w:p w14:paraId="5330F96F" w14:textId="53E0D944" w:rsidR="000123C4" w:rsidRDefault="000123C4" w:rsidP="0009317F">
      <w:pPr>
        <w:jc w:val="center"/>
        <w:rPr>
          <w:b/>
        </w:rPr>
      </w:pPr>
      <w:r>
        <w:rPr>
          <w:i/>
        </w:rPr>
        <w:t>Email: mlland028@myuct.ac.za</w:t>
      </w:r>
    </w:p>
    <w:p w14:paraId="1EB9DD33" w14:textId="528546A2" w:rsidR="000123C4" w:rsidRDefault="000123C4" w:rsidP="000123C4">
      <w:pPr>
        <w:pStyle w:val="Heading2"/>
      </w:pPr>
      <w:r>
        <w:t>Introduction</w:t>
      </w:r>
    </w:p>
    <w:p w14:paraId="5DF387B9" w14:textId="73E9BE5A" w:rsidR="00F72E35" w:rsidRPr="00F72E35" w:rsidRDefault="004C2E88" w:rsidP="007E73F2">
      <w:pPr>
        <w:jc w:val="both"/>
      </w:pPr>
      <w:r>
        <w:t>Owing to time constraints, t</w:t>
      </w:r>
      <w:r w:rsidR="00F72E35">
        <w:t xml:space="preserve">he robustness tests </w:t>
      </w:r>
      <w:r w:rsidR="00C05EDB">
        <w:t xml:space="preserve">results for the recommended revised hake OMP </w:t>
      </w:r>
      <w:r w:rsidR="00F72E35">
        <w:t>reported in MARAM/IWS/Hake/P6a and b were all conducted for the RC OM</w:t>
      </w:r>
      <w:r w:rsidR="00C05EDB">
        <w:t xml:space="preserve"> only</w:t>
      </w:r>
      <w:r w:rsidR="0086025D">
        <w:t xml:space="preserve">. </w:t>
      </w:r>
      <w:r w:rsidR="007E73F2">
        <w:t xml:space="preserve">This working paper compares the RC results with the results for the whole RS in order to ascertain whether it is likely that the </w:t>
      </w:r>
      <w:r w:rsidR="00743786">
        <w:t>conclusions drawn from the robustness tests conducted for the RC will hold</w:t>
      </w:r>
      <w:r w:rsidR="009D1867">
        <w:t xml:space="preserve"> for the whole RS, or whether the very time-consuming task of reconditioning the RS OMs for the various robustness tests needs to be undertaken</w:t>
      </w:r>
      <w:r>
        <w:t>.</w:t>
      </w:r>
    </w:p>
    <w:p w14:paraId="13F1D57C" w14:textId="762B2782" w:rsidR="001E2F10" w:rsidRDefault="00BB72CC" w:rsidP="00BB72CC">
      <w:pPr>
        <w:pStyle w:val="Heading2"/>
      </w:pPr>
      <w:r>
        <w:t xml:space="preserve">Results </w:t>
      </w:r>
    </w:p>
    <w:p w14:paraId="439A738B" w14:textId="69386C58" w:rsidR="009F0BE1" w:rsidRPr="00BA5778" w:rsidRDefault="00931D7E" w:rsidP="00F95113">
      <w:pPr>
        <w:jc w:val="both"/>
      </w:pPr>
      <w:r w:rsidRPr="00BA5778">
        <w:fldChar w:fldCharType="begin"/>
      </w:r>
      <w:r w:rsidRPr="00BA5778">
        <w:instrText xml:space="preserve"> REF _Ref526450773 \h  \* MERGEFORMAT </w:instrText>
      </w:r>
      <w:r w:rsidRPr="00BA5778">
        <w:fldChar w:fldCharType="separate"/>
      </w:r>
      <w:r w:rsidR="006D3B3C" w:rsidRPr="006D3B3C">
        <w:t xml:space="preserve">Figure </w:t>
      </w:r>
      <w:r w:rsidR="006D3B3C" w:rsidRPr="006D3B3C">
        <w:rPr>
          <w:noProof/>
        </w:rPr>
        <w:t>1</w:t>
      </w:r>
      <w:r w:rsidRPr="00BA5778">
        <w:fldChar w:fldCharType="end"/>
      </w:r>
      <w:r w:rsidR="004C2E88">
        <w:t xml:space="preserve"> plots the spawning biomass, TAC, effort and CPUE trajectories for the Base Case (i.e. for the RC assessment model specifications as per MARAM/IWS/2018/Hake/P1) for the single RC OM results and for an equal weighting across the nine RS OMs. </w:t>
      </w:r>
      <w:r w:rsidR="009F0BE1" w:rsidRPr="00F95113">
        <w:fldChar w:fldCharType="begin"/>
      </w:r>
      <w:r w:rsidR="009F0BE1" w:rsidRPr="00F95113">
        <w:instrText xml:space="preserve"> REF _Ref525741246 \h  \* MERGEFORMAT </w:instrText>
      </w:r>
      <w:r w:rsidR="009F0BE1" w:rsidRPr="00F95113">
        <w:fldChar w:fldCharType="separate"/>
      </w:r>
      <w:r w:rsidR="006D3B3C" w:rsidRPr="006D3B3C">
        <w:t xml:space="preserve">Figure </w:t>
      </w:r>
      <w:r w:rsidR="006D3B3C" w:rsidRPr="006D3B3C">
        <w:rPr>
          <w:noProof/>
        </w:rPr>
        <w:t>2</w:t>
      </w:r>
      <w:r w:rsidR="009F0BE1" w:rsidRPr="00F95113">
        <w:fldChar w:fldCharType="end"/>
      </w:r>
      <w:r w:rsidR="004C2E88">
        <w:t xml:space="preserve"> repeats these figures, but for the BC as well as two robustness tests, namely increasing and decreasing the offshore trawl fishery F-proportions (i.e. the proportion of the total fishing mortality in the offshore catch on </w:t>
      </w:r>
      <w:r w:rsidR="004C2E88" w:rsidRPr="004569F0">
        <w:rPr>
          <w:i/>
        </w:rPr>
        <w:t>M. paradoxus</w:t>
      </w:r>
      <w:r w:rsidR="004C2E88">
        <w:t xml:space="preserve">). These correspond to robustness tests RT 12 a and b of </w:t>
      </w:r>
      <w:r w:rsidR="00C05EDB">
        <w:t>MARAM/IWS/2018/</w:t>
      </w:r>
      <w:r w:rsidR="004C2E88">
        <w:t>Hake/P6b and were chosen as they had a more substantial impact on the projection results that many of the other robustness tests.</w:t>
      </w:r>
      <w:r w:rsidR="00F95113">
        <w:rPr>
          <w:b/>
        </w:rPr>
        <w:t xml:space="preserve"> </w:t>
      </w:r>
      <w:r w:rsidRPr="00B87AB1">
        <w:fldChar w:fldCharType="begin"/>
      </w:r>
      <w:r w:rsidRPr="00B87AB1">
        <w:instrText xml:space="preserve"> REF _Ref522216356 \h  \* MERGEFORMAT </w:instrText>
      </w:r>
      <w:r w:rsidRPr="00B87AB1">
        <w:fldChar w:fldCharType="separate"/>
      </w:r>
      <w:r w:rsidR="006D3B3C" w:rsidRPr="006D3B3C">
        <w:t xml:space="preserve">Figure </w:t>
      </w:r>
      <w:r w:rsidR="006D3B3C" w:rsidRPr="006D3B3C">
        <w:rPr>
          <w:noProof/>
        </w:rPr>
        <w:t>3</w:t>
      </w:r>
      <w:r w:rsidRPr="00B87AB1">
        <w:fldChar w:fldCharType="end"/>
      </w:r>
      <w:r w:rsidR="004C2E88">
        <w:t xml:space="preserve"> plots the performance statistics of the BC and robustness tests for the single RS OM and an equal weighting across the whole RS.</w:t>
      </w:r>
    </w:p>
    <w:p w14:paraId="5715C91F" w14:textId="107B040B" w:rsidR="009F0BE1" w:rsidRDefault="009F0BE1" w:rsidP="009F0BE1">
      <w:pPr>
        <w:pStyle w:val="Heading2"/>
        <w:tabs>
          <w:tab w:val="left" w:pos="4536"/>
        </w:tabs>
        <w:jc w:val="both"/>
      </w:pPr>
      <w:r>
        <w:t xml:space="preserve">Discussion </w:t>
      </w:r>
    </w:p>
    <w:p w14:paraId="5A56DC4E" w14:textId="1985127F" w:rsidR="004C2E88" w:rsidRDefault="000B19E5" w:rsidP="00E405CE">
      <w:pPr>
        <w:spacing w:after="120"/>
        <w:rPr>
          <w:i/>
        </w:rPr>
      </w:pPr>
      <w:r>
        <w:rPr>
          <w:i/>
        </w:rPr>
        <w:t>Base Case</w:t>
      </w:r>
    </w:p>
    <w:p w14:paraId="21235234" w14:textId="34A155B2" w:rsidR="000B19E5" w:rsidRDefault="000B19E5" w:rsidP="000A629E">
      <w:pPr>
        <w:jc w:val="both"/>
      </w:pPr>
      <w:r>
        <w:t xml:space="preserve">When an equal weighting across the whole RS is considered, the projections are generally more optimistic, with higher </w:t>
      </w:r>
      <w:r>
        <w:rPr>
          <w:i/>
        </w:rPr>
        <w:t>B/B</w:t>
      </w:r>
      <w:r>
        <w:rPr>
          <w:i/>
          <w:vertAlign w:val="subscript"/>
        </w:rPr>
        <w:t>MSY</w:t>
      </w:r>
      <w:r>
        <w:t xml:space="preserve"> estimates at the end of the projection period, higher predicted TAC</w:t>
      </w:r>
      <w:r w:rsidR="00C05EDB">
        <w:t>s</w:t>
      </w:r>
      <w:r>
        <w:t xml:space="preserve"> with lower effort and higher CPUE (although the RC projections predict higher </w:t>
      </w:r>
      <w:r w:rsidR="00C75980">
        <w:t xml:space="preserve">catches and </w:t>
      </w:r>
      <w:r>
        <w:t>catch rates in the short term).</w:t>
      </w:r>
      <w:r w:rsidR="000A629E">
        <w:t xml:space="preserve"> As can be expected, the probability intervals for the whole RS projections are larger, especially for statistics relating to the </w:t>
      </w:r>
      <w:r w:rsidR="000A629E">
        <w:rPr>
          <w:i/>
        </w:rPr>
        <w:t xml:space="preserve">M. </w:t>
      </w:r>
      <w:proofErr w:type="spellStart"/>
      <w:r w:rsidR="000A629E">
        <w:rPr>
          <w:i/>
        </w:rPr>
        <w:t>capensis</w:t>
      </w:r>
      <w:proofErr w:type="spellEnd"/>
      <w:r w:rsidR="000A629E">
        <w:rPr>
          <w:i/>
        </w:rPr>
        <w:t xml:space="preserve"> </w:t>
      </w:r>
      <w:r w:rsidR="000A629E">
        <w:t>resource, where the three more “pessimistic” OMs cause a very large spread in results.</w:t>
      </w:r>
    </w:p>
    <w:p w14:paraId="7A09C9B4" w14:textId="2B5AED86" w:rsidR="000A629E" w:rsidRDefault="000A629E" w:rsidP="00E405CE">
      <w:pPr>
        <w:spacing w:after="120"/>
        <w:jc w:val="both"/>
        <w:rPr>
          <w:i/>
        </w:rPr>
      </w:pPr>
      <w:r>
        <w:rPr>
          <w:i/>
        </w:rPr>
        <w:t>Robustness tests</w:t>
      </w:r>
    </w:p>
    <w:p w14:paraId="60427FF1" w14:textId="01A6EFED" w:rsidR="00EC3F97" w:rsidRDefault="000A629E" w:rsidP="000A629E">
      <w:pPr>
        <w:jc w:val="both"/>
      </w:pPr>
      <w:r>
        <w:t xml:space="preserve">The aim of conducting the robustness tests for the whole RS is to see whether any flags are raised that would have been missed if only the RC OM is considered. On the whole the “relative behaviour” (i.e. how the robustness tests differ from the BC) is similar for the RC OM and the RS and similar conclusions to those in </w:t>
      </w:r>
      <w:r w:rsidR="00C05EDB">
        <w:t>MARAM/IWS/2018/</w:t>
      </w:r>
      <w:r>
        <w:t>Hake/P6b would have been drawn. The only point of potential concern remains the lower</w:t>
      </w:r>
      <w:r w:rsidR="00D578A3">
        <w:t xml:space="preserve"> bounds on the </w:t>
      </w:r>
      <w:r w:rsidR="00D578A3">
        <w:rPr>
          <w:i/>
        </w:rPr>
        <w:t xml:space="preserve">M. </w:t>
      </w:r>
      <w:proofErr w:type="spellStart"/>
      <w:r w:rsidR="00D578A3">
        <w:rPr>
          <w:i/>
        </w:rPr>
        <w:t>capensis</w:t>
      </w:r>
      <w:proofErr w:type="spellEnd"/>
      <w:r w:rsidR="00D578A3">
        <w:t xml:space="preserve"> depletion performances statistics</w:t>
      </w:r>
      <w:r w:rsidR="00AC522D">
        <w:t xml:space="preserve"> for the whole RS results</w:t>
      </w:r>
      <w:r w:rsidR="00D578A3">
        <w:t>, which are mostly below one, and drop very low for the robustness test that decreases the F</w:t>
      </w:r>
      <w:r w:rsidR="00C05EDB">
        <w:t>-</w:t>
      </w:r>
      <w:r w:rsidR="00D578A3">
        <w:t xml:space="preserve">proportion (i.e. increases the </w:t>
      </w:r>
      <w:r w:rsidR="00D578A3">
        <w:rPr>
          <w:i/>
        </w:rPr>
        <w:t xml:space="preserve">M. </w:t>
      </w:r>
      <w:proofErr w:type="spellStart"/>
      <w:r w:rsidR="00D578A3">
        <w:rPr>
          <w:i/>
        </w:rPr>
        <w:t>capensis</w:t>
      </w:r>
      <w:proofErr w:type="spellEnd"/>
      <w:r w:rsidR="00D578A3">
        <w:rPr>
          <w:i/>
        </w:rPr>
        <w:t xml:space="preserve"> </w:t>
      </w:r>
      <w:r w:rsidR="00D578A3">
        <w:t xml:space="preserve">offshore trawl catch). But as has been pointed out previously, these low estimates for </w:t>
      </w:r>
      <w:r w:rsidR="00D578A3">
        <w:rPr>
          <w:i/>
        </w:rPr>
        <w:t xml:space="preserve">M. </w:t>
      </w:r>
      <w:proofErr w:type="spellStart"/>
      <w:r w:rsidR="00D578A3">
        <w:rPr>
          <w:i/>
        </w:rPr>
        <w:t>capensis</w:t>
      </w:r>
      <w:proofErr w:type="spellEnd"/>
      <w:r w:rsidR="00D578A3">
        <w:t xml:space="preserve"> arise almost exclusively from three of the nine RS OMs, </w:t>
      </w:r>
      <w:r w:rsidR="00C05EDB">
        <w:t xml:space="preserve">all of </w:t>
      </w:r>
      <w:r w:rsidR="00A45CC8">
        <w:t xml:space="preserve">which are </w:t>
      </w:r>
      <w:proofErr w:type="spellStart"/>
      <w:r w:rsidR="00A45CC8">
        <w:t>Beverton</w:t>
      </w:r>
      <w:proofErr w:type="spellEnd"/>
      <w:r w:rsidR="00A45CC8">
        <w:t xml:space="preserve">-Holt models. It has been argued that the three Ricker models in the RS are more credible as their fits have a higher likelihood and that the </w:t>
      </w:r>
      <w:r w:rsidR="00A45CC8">
        <w:rPr>
          <w:i/>
        </w:rPr>
        <w:t>h</w:t>
      </w:r>
      <w:r w:rsidR="00A45CC8">
        <w:t xml:space="preserve"> values for the B-H models had to be fixed.</w:t>
      </w:r>
      <w:r w:rsidR="005248E6">
        <w:t xml:space="preserve"> </w:t>
      </w:r>
      <w:r w:rsidR="005248E6" w:rsidRPr="00B87AB1">
        <w:fldChar w:fldCharType="begin"/>
      </w:r>
      <w:r w:rsidR="005248E6" w:rsidRPr="00B87AB1">
        <w:instrText xml:space="preserve"> REF _Ref522216356 \h  \* MERGEFORMAT </w:instrText>
      </w:r>
      <w:r w:rsidR="005248E6" w:rsidRPr="00B87AB1">
        <w:fldChar w:fldCharType="separate"/>
      </w:r>
      <w:r w:rsidR="006D3B3C" w:rsidRPr="006D3B3C">
        <w:t xml:space="preserve">Figure </w:t>
      </w:r>
      <w:r w:rsidR="006D3B3C" w:rsidRPr="006D3B3C">
        <w:rPr>
          <w:noProof/>
        </w:rPr>
        <w:t>3</w:t>
      </w:r>
      <w:r w:rsidR="005248E6" w:rsidRPr="00B87AB1">
        <w:fldChar w:fldCharType="end"/>
      </w:r>
      <w:r w:rsidR="005248E6">
        <w:t xml:space="preserve"> also plots the performance statistics when only the “optimistic” OMs are </w:t>
      </w:r>
      <w:proofErr w:type="gramStart"/>
      <w:r w:rsidR="005248E6">
        <w:t>taken into account</w:t>
      </w:r>
      <w:proofErr w:type="gramEnd"/>
      <w:r w:rsidR="005248E6">
        <w:t xml:space="preserve">, which show </w:t>
      </w:r>
      <w:r w:rsidR="00C05EDB">
        <w:t>no</w:t>
      </w:r>
      <w:r w:rsidR="005248E6">
        <w:t xml:space="preserve"> cause for concern for the status of the </w:t>
      </w:r>
      <w:r w:rsidR="005248E6">
        <w:rPr>
          <w:i/>
        </w:rPr>
        <w:t xml:space="preserve">M. </w:t>
      </w:r>
      <w:proofErr w:type="spellStart"/>
      <w:r w:rsidR="005248E6">
        <w:rPr>
          <w:i/>
        </w:rPr>
        <w:t>capensis</w:t>
      </w:r>
      <w:proofErr w:type="spellEnd"/>
      <w:r w:rsidR="005248E6">
        <w:rPr>
          <w:i/>
        </w:rPr>
        <w:t xml:space="preserve"> </w:t>
      </w:r>
      <w:r w:rsidR="005248E6">
        <w:t>resource.</w:t>
      </w:r>
      <w:r w:rsidR="00AC522D">
        <w:t xml:space="preserve"> Perhaps the proposed safeguard rule for the </w:t>
      </w:r>
      <w:r w:rsidR="00AC522D">
        <w:rPr>
          <w:i/>
        </w:rPr>
        <w:t xml:space="preserve">M. </w:t>
      </w:r>
      <w:proofErr w:type="spellStart"/>
      <w:r w:rsidR="00AC522D">
        <w:rPr>
          <w:i/>
        </w:rPr>
        <w:t>capensis</w:t>
      </w:r>
      <w:proofErr w:type="spellEnd"/>
      <w:r w:rsidR="00AC522D">
        <w:rPr>
          <w:i/>
        </w:rPr>
        <w:t xml:space="preserve"> </w:t>
      </w:r>
      <w:r w:rsidR="00AC522D">
        <w:t xml:space="preserve">resource that is to be included in OMP2018 should be evaluated </w:t>
      </w:r>
      <w:r w:rsidR="00EC3F97">
        <w:t>against the robustness test that decreases the F</w:t>
      </w:r>
      <w:r w:rsidR="00C05EDB">
        <w:t>-</w:t>
      </w:r>
      <w:r w:rsidR="00EC3F97">
        <w:t xml:space="preserve">proportion to see whether it would perform adequately to preserve the </w:t>
      </w:r>
      <w:r w:rsidR="00EC3F97">
        <w:rPr>
          <w:i/>
        </w:rPr>
        <w:t xml:space="preserve">M. </w:t>
      </w:r>
      <w:proofErr w:type="spellStart"/>
      <w:r w:rsidR="00EC3F97">
        <w:rPr>
          <w:i/>
        </w:rPr>
        <w:t>capensis</w:t>
      </w:r>
      <w:proofErr w:type="spellEnd"/>
      <w:r w:rsidR="00EC3F97">
        <w:t xml:space="preserve"> population under those circumstances. </w:t>
      </w:r>
    </w:p>
    <w:p w14:paraId="6CD1B56C" w14:textId="7E052A34" w:rsidR="005248E6" w:rsidRPr="005248E6" w:rsidRDefault="005248E6" w:rsidP="000A629E">
      <w:pPr>
        <w:jc w:val="both"/>
      </w:pPr>
      <w:r>
        <w:t xml:space="preserve">Unless there is further concern expressed over the three pessimistic OMs (bearing in mind that all three OMs indicate a recovery of the </w:t>
      </w:r>
      <w:r>
        <w:rPr>
          <w:i/>
        </w:rPr>
        <w:t xml:space="preserve">M. </w:t>
      </w:r>
      <w:proofErr w:type="spellStart"/>
      <w:r>
        <w:rPr>
          <w:i/>
        </w:rPr>
        <w:t>capensis</w:t>
      </w:r>
      <w:proofErr w:type="spellEnd"/>
      <w:r>
        <w:rPr>
          <w:i/>
        </w:rPr>
        <w:t xml:space="preserve"> </w:t>
      </w:r>
      <w:r>
        <w:t xml:space="preserve">resource under the BC assumptions), it would seem that the trends in the robustness tests would </w:t>
      </w:r>
      <w:r w:rsidR="00C05EDB">
        <w:t>apply</w:t>
      </w:r>
      <w:r>
        <w:t xml:space="preserve"> fairly well to the whole RS. </w:t>
      </w:r>
    </w:p>
    <w:tbl>
      <w:tblPr>
        <w:tblStyle w:val="TableGrid"/>
        <w:tblW w:w="5000" w:type="pct"/>
        <w:tblLook w:val="04A0" w:firstRow="1" w:lastRow="0" w:firstColumn="1" w:lastColumn="0" w:noHBand="0" w:noVBand="1"/>
      </w:tblPr>
      <w:tblGrid>
        <w:gridCol w:w="9864"/>
      </w:tblGrid>
      <w:tr w:rsidR="00A316ED" w14:paraId="777C284C" w14:textId="77777777" w:rsidTr="005D0950">
        <w:tc>
          <w:tcPr>
            <w:tcW w:w="5000" w:type="pct"/>
            <w:tcBorders>
              <w:top w:val="nil"/>
              <w:left w:val="nil"/>
              <w:bottom w:val="nil"/>
              <w:right w:val="nil"/>
            </w:tcBorders>
          </w:tcPr>
          <w:p w14:paraId="6525D57E" w14:textId="0640BABC" w:rsidR="00A316ED" w:rsidRDefault="00A316ED" w:rsidP="005D0950">
            <w:pPr>
              <w:spacing w:after="120"/>
              <w:jc w:val="center"/>
            </w:pPr>
            <w:r>
              <w:rPr>
                <w:noProof/>
              </w:rPr>
              <w:lastRenderedPageBreak/>
              <w:drawing>
                <wp:inline distT="0" distB="0" distL="0" distR="0" wp14:anchorId="7C48827A" wp14:editId="73643315">
                  <wp:extent cx="6263560" cy="715835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6263560" cy="7158355"/>
                          </a:xfrm>
                          <a:prstGeom prst="rect">
                            <a:avLst/>
                          </a:prstGeom>
                        </pic:spPr>
                      </pic:pic>
                    </a:graphicData>
                  </a:graphic>
                </wp:inline>
              </w:drawing>
            </w:r>
          </w:p>
        </w:tc>
      </w:tr>
      <w:tr w:rsidR="00A316ED" w:rsidRPr="001D13CD" w14:paraId="6472743C" w14:textId="77777777" w:rsidTr="005D0950">
        <w:trPr>
          <w:trHeight w:val="87"/>
        </w:trPr>
        <w:tc>
          <w:tcPr>
            <w:tcW w:w="5000" w:type="pct"/>
            <w:tcBorders>
              <w:top w:val="nil"/>
              <w:left w:val="nil"/>
              <w:bottom w:val="nil"/>
              <w:right w:val="nil"/>
            </w:tcBorders>
          </w:tcPr>
          <w:p w14:paraId="7122F088" w14:textId="57F5185C" w:rsidR="00A316ED" w:rsidRPr="00A316ED" w:rsidRDefault="00A316ED" w:rsidP="005D0950">
            <w:pPr>
              <w:ind w:left="738" w:hanging="738"/>
              <w:jc w:val="both"/>
              <w:rPr>
                <w:szCs w:val="20"/>
              </w:rPr>
            </w:pPr>
            <w:bookmarkStart w:id="1" w:name="_Ref526450773"/>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sidR="006D3B3C">
              <w:rPr>
                <w:b/>
                <w:noProof/>
                <w:szCs w:val="20"/>
              </w:rPr>
              <w:t>1</w:t>
            </w:r>
            <w:r w:rsidRPr="00DC5A50">
              <w:rPr>
                <w:b/>
                <w:i/>
                <w:szCs w:val="20"/>
              </w:rPr>
              <w:fldChar w:fldCharType="end"/>
            </w:r>
            <w:bookmarkEnd w:id="1"/>
            <w:r w:rsidRPr="00DC5A50">
              <w:rPr>
                <w:b/>
                <w:szCs w:val="20"/>
              </w:rPr>
              <w:t xml:space="preserve">: </w:t>
            </w:r>
            <w:r>
              <w:rPr>
                <w:szCs w:val="20"/>
              </w:rPr>
              <w:t xml:space="preserve">Female spawning biomass, TAC, effort and CPUE trajectories </w:t>
            </w:r>
            <w:r w:rsidR="008C30D5">
              <w:rPr>
                <w:szCs w:val="20"/>
              </w:rPr>
              <w:t xml:space="preserve">are shown </w:t>
            </w:r>
            <w:r>
              <w:rPr>
                <w:szCs w:val="20"/>
              </w:rPr>
              <w:t xml:space="preserve">for the RC </w:t>
            </w:r>
            <w:r w:rsidR="00F4060B">
              <w:rPr>
                <w:szCs w:val="20"/>
              </w:rPr>
              <w:t xml:space="preserve">Base Case </w:t>
            </w:r>
            <w:r>
              <w:rPr>
                <w:szCs w:val="20"/>
              </w:rPr>
              <w:t>OM (black line</w:t>
            </w:r>
            <w:r w:rsidR="002E5B3D">
              <w:rPr>
                <w:szCs w:val="20"/>
              </w:rPr>
              <w:t>s</w:t>
            </w:r>
            <w:r>
              <w:rPr>
                <w:szCs w:val="20"/>
              </w:rPr>
              <w:t xml:space="preserve"> for median trajector</w:t>
            </w:r>
            <w:r w:rsidR="002E5B3D">
              <w:rPr>
                <w:szCs w:val="20"/>
              </w:rPr>
              <w:t>ies</w:t>
            </w:r>
            <w:r>
              <w:rPr>
                <w:szCs w:val="20"/>
              </w:rPr>
              <w:t xml:space="preserve"> and grey shaded area</w:t>
            </w:r>
            <w:r w:rsidR="002E5B3D">
              <w:rPr>
                <w:szCs w:val="20"/>
              </w:rPr>
              <w:t>s</w:t>
            </w:r>
            <w:r>
              <w:rPr>
                <w:szCs w:val="20"/>
              </w:rPr>
              <w:t xml:space="preserve"> for 90% P.E.) and for an equal weighting</w:t>
            </w:r>
            <w:r w:rsidR="00F4060B">
              <w:rPr>
                <w:szCs w:val="20"/>
              </w:rPr>
              <w:t xml:space="preserve"> for the BC</w:t>
            </w:r>
            <w:r>
              <w:rPr>
                <w:szCs w:val="20"/>
              </w:rPr>
              <w:t xml:space="preserve"> across the whole RS (</w:t>
            </w:r>
            <w:r w:rsidR="002E5B3D">
              <w:rPr>
                <w:szCs w:val="20"/>
              </w:rPr>
              <w:t>blue dashed lines for median trajectories and light blue areas for shading).</w:t>
            </w:r>
            <w:r w:rsidR="00FB3856">
              <w:rPr>
                <w:szCs w:val="20"/>
              </w:rPr>
              <w:t xml:space="preserve"> </w:t>
            </w:r>
            <w:r w:rsidR="00C05EDB">
              <w:rPr>
                <w:szCs w:val="20"/>
              </w:rPr>
              <w:t xml:space="preserve">Projections are as under the revised OMP recommended. </w:t>
            </w:r>
            <w:r w:rsidR="00F4060B">
              <w:rPr>
                <w:szCs w:val="20"/>
              </w:rPr>
              <w:t xml:space="preserve">Note that the uncertainty about the median trajectory for the RS prior to 2018 is </w:t>
            </w:r>
            <w:r w:rsidR="00C05EDB">
              <w:rPr>
                <w:szCs w:val="20"/>
              </w:rPr>
              <w:t>a consequence of</w:t>
            </w:r>
            <w:r w:rsidR="00F4060B">
              <w:rPr>
                <w:szCs w:val="20"/>
              </w:rPr>
              <w:t xml:space="preserve"> the range </w:t>
            </w:r>
            <w:r w:rsidR="00C05EDB">
              <w:rPr>
                <w:szCs w:val="20"/>
              </w:rPr>
              <w:t>across</w:t>
            </w:r>
            <w:r w:rsidR="00F4060B">
              <w:rPr>
                <w:szCs w:val="20"/>
              </w:rPr>
              <w:t xml:space="preserve"> the nine RS OMs, which is why there is no such corresponding P.E. prior to 2018 for the single RC OM results. </w:t>
            </w:r>
          </w:p>
        </w:tc>
      </w:tr>
    </w:tbl>
    <w:p w14:paraId="483C0C8D" w14:textId="4E92BA65" w:rsidR="0044033B" w:rsidRDefault="0044033B"/>
    <w:p w14:paraId="1CFA28CC" w14:textId="77777777" w:rsidR="00A316ED" w:rsidRDefault="00A316ED">
      <w:pPr>
        <w:sectPr w:rsidR="00A316ED" w:rsidSect="00015365">
          <w:headerReference w:type="default" r:id="rId8"/>
          <w:footerReference w:type="default" r:id="rId9"/>
          <w:pgSz w:w="11906" w:h="16838"/>
          <w:pgMar w:top="1021" w:right="1021" w:bottom="1021" w:left="1021" w:header="709" w:footer="709" w:gutter="0"/>
          <w:cols w:space="708"/>
          <w:docGrid w:linePitch="360"/>
        </w:sect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6"/>
      </w:tblGrid>
      <w:tr w:rsidR="00A316ED" w14:paraId="50BBA5E9" w14:textId="77777777" w:rsidTr="005D0950">
        <w:tc>
          <w:tcPr>
            <w:tcW w:w="5000" w:type="pct"/>
          </w:tcPr>
          <w:p w14:paraId="1A15C88E" w14:textId="04AB05FA" w:rsidR="00A316ED" w:rsidRDefault="00DC00A4" w:rsidP="005D0950">
            <w:pPr>
              <w:jc w:val="center"/>
            </w:pPr>
            <w:r>
              <w:rPr>
                <w:noProof/>
              </w:rPr>
              <w:lastRenderedPageBreak/>
              <w:drawing>
                <wp:inline distT="0" distB="0" distL="0" distR="0" wp14:anchorId="3010FF7E" wp14:editId="34957C3A">
                  <wp:extent cx="7203600" cy="54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5).jpg"/>
                          <pic:cNvPicPr/>
                        </pic:nvPicPr>
                        <pic:blipFill>
                          <a:blip r:embed="rId10">
                            <a:extLst>
                              <a:ext uri="{28A0092B-C50C-407E-A947-70E740481C1C}">
                                <a14:useLocalDpi xmlns:a14="http://schemas.microsoft.com/office/drawing/2010/main" val="0"/>
                              </a:ext>
                            </a:extLst>
                          </a:blip>
                          <a:stretch>
                            <a:fillRect/>
                          </a:stretch>
                        </pic:blipFill>
                        <pic:spPr>
                          <a:xfrm>
                            <a:off x="0" y="0"/>
                            <a:ext cx="7203600" cy="5400000"/>
                          </a:xfrm>
                          <a:prstGeom prst="rect">
                            <a:avLst/>
                          </a:prstGeom>
                        </pic:spPr>
                      </pic:pic>
                    </a:graphicData>
                  </a:graphic>
                </wp:inline>
              </w:drawing>
            </w:r>
          </w:p>
        </w:tc>
      </w:tr>
      <w:tr w:rsidR="00A316ED" w:rsidRPr="00DC5A50" w14:paraId="17EE1C49" w14:textId="77777777" w:rsidTr="005D0950">
        <w:tc>
          <w:tcPr>
            <w:tcW w:w="5000" w:type="pct"/>
          </w:tcPr>
          <w:p w14:paraId="49D8A992" w14:textId="5390BA54" w:rsidR="00A316ED" w:rsidRPr="00286541" w:rsidRDefault="00A316ED" w:rsidP="00DC00A4">
            <w:pPr>
              <w:ind w:left="747" w:hanging="747"/>
              <w:jc w:val="both"/>
            </w:pPr>
            <w:bookmarkStart w:id="2" w:name="_Ref525741246"/>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sidR="006D3B3C">
              <w:rPr>
                <w:b/>
                <w:noProof/>
                <w:szCs w:val="20"/>
              </w:rPr>
              <w:t>2</w:t>
            </w:r>
            <w:r w:rsidRPr="00DC5A50">
              <w:rPr>
                <w:b/>
                <w:i/>
                <w:szCs w:val="20"/>
              </w:rPr>
              <w:fldChar w:fldCharType="end"/>
            </w:r>
            <w:bookmarkEnd w:id="2"/>
            <w:r w:rsidRPr="00DC5A50">
              <w:rPr>
                <w:b/>
                <w:szCs w:val="20"/>
              </w:rPr>
              <w:t xml:space="preserve">: </w:t>
            </w:r>
            <w:r w:rsidRPr="00DC5A50">
              <w:rPr>
                <w:szCs w:val="20"/>
              </w:rPr>
              <w:t xml:space="preserve">Median estimates and 90% probability </w:t>
            </w:r>
            <w:r w:rsidR="00286541">
              <w:rPr>
                <w:szCs w:val="20"/>
              </w:rPr>
              <w:t>envelopes are shown for two robustness tests</w:t>
            </w:r>
            <w:r w:rsidR="00C05EDB">
              <w:rPr>
                <w:szCs w:val="20"/>
              </w:rPr>
              <w:t xml:space="preserve"> of the recommended revised hake OMP</w:t>
            </w:r>
            <w:r w:rsidR="00286541">
              <w:rPr>
                <w:szCs w:val="20"/>
              </w:rPr>
              <w:t>: (A) increasing the F</w:t>
            </w:r>
            <w:r w:rsidR="00C05EDB">
              <w:rPr>
                <w:szCs w:val="20"/>
              </w:rPr>
              <w:t>-</w:t>
            </w:r>
            <w:r w:rsidR="00286541">
              <w:rPr>
                <w:szCs w:val="20"/>
              </w:rPr>
              <w:t>proportion and (B) decreasing the F</w:t>
            </w:r>
            <w:r w:rsidR="00C05EDB">
              <w:rPr>
                <w:szCs w:val="20"/>
              </w:rPr>
              <w:t>-</w:t>
            </w:r>
            <w:r w:rsidR="00286541">
              <w:rPr>
                <w:szCs w:val="20"/>
              </w:rPr>
              <w:t xml:space="preserve">proportion. For each robustness test, the left column compares the RC OM </w:t>
            </w:r>
            <w:r w:rsidR="00931D7E">
              <w:rPr>
                <w:szCs w:val="20"/>
              </w:rPr>
              <w:t xml:space="preserve">BC </w:t>
            </w:r>
            <w:r w:rsidR="00286541">
              <w:rPr>
                <w:szCs w:val="20"/>
              </w:rPr>
              <w:t>results with the robustness test run for the RC OM</w:t>
            </w:r>
            <w:r w:rsidR="00C05EDB">
              <w:rPr>
                <w:szCs w:val="20"/>
              </w:rPr>
              <w:t>,</w:t>
            </w:r>
            <w:r w:rsidR="00286541">
              <w:rPr>
                <w:szCs w:val="20"/>
              </w:rPr>
              <w:t xml:space="preserve"> and the right column compares an equal weighting across the whole RS </w:t>
            </w:r>
            <w:r w:rsidR="00931D7E">
              <w:rPr>
                <w:szCs w:val="20"/>
              </w:rPr>
              <w:t xml:space="preserve">for the BC </w:t>
            </w:r>
            <w:r w:rsidR="00286541">
              <w:rPr>
                <w:szCs w:val="20"/>
              </w:rPr>
              <w:t>with the robustness test run for the whole</w:t>
            </w:r>
            <w:r w:rsidR="00DC00A4">
              <w:rPr>
                <w:szCs w:val="20"/>
              </w:rPr>
              <w:t xml:space="preserve"> RS.</w:t>
            </w:r>
          </w:p>
        </w:tc>
      </w:tr>
    </w:tbl>
    <w:p w14:paraId="32DECD8E" w14:textId="77777777" w:rsidR="00A316ED" w:rsidRDefault="00A316ED">
      <w:pPr>
        <w:sectPr w:rsidR="00A316ED" w:rsidSect="00A316ED">
          <w:pgSz w:w="16838" w:h="11906" w:orient="landscape"/>
          <w:pgMar w:top="1021" w:right="1021" w:bottom="1021" w:left="1021"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166185" w14:paraId="2F386766" w14:textId="77777777" w:rsidTr="00A316ED">
        <w:tc>
          <w:tcPr>
            <w:tcW w:w="9864" w:type="dxa"/>
          </w:tcPr>
          <w:p w14:paraId="3FBF76AB" w14:textId="6D40A52B" w:rsidR="00166185" w:rsidRDefault="00A316ED" w:rsidP="00B05FB8">
            <w:pPr>
              <w:spacing w:after="120"/>
              <w:jc w:val="center"/>
            </w:pPr>
            <w:r>
              <w:rPr>
                <w:noProof/>
              </w:rPr>
              <w:lastRenderedPageBreak/>
              <w:drawing>
                <wp:inline distT="0" distB="0" distL="0" distR="0" wp14:anchorId="640D599B" wp14:editId="2BC93E75">
                  <wp:extent cx="5487166" cy="73162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3).jpg"/>
                          <pic:cNvPicPr/>
                        </pic:nvPicPr>
                        <pic:blipFill>
                          <a:blip r:embed="rId11">
                            <a:extLst>
                              <a:ext uri="{28A0092B-C50C-407E-A947-70E740481C1C}">
                                <a14:useLocalDpi xmlns:a14="http://schemas.microsoft.com/office/drawing/2010/main" val="0"/>
                              </a:ext>
                            </a:extLst>
                          </a:blip>
                          <a:stretch>
                            <a:fillRect/>
                          </a:stretch>
                        </pic:blipFill>
                        <pic:spPr>
                          <a:xfrm>
                            <a:off x="0" y="0"/>
                            <a:ext cx="5487166" cy="7316221"/>
                          </a:xfrm>
                          <a:prstGeom prst="rect">
                            <a:avLst/>
                          </a:prstGeom>
                        </pic:spPr>
                      </pic:pic>
                    </a:graphicData>
                  </a:graphic>
                </wp:inline>
              </w:drawing>
            </w:r>
          </w:p>
        </w:tc>
      </w:tr>
      <w:tr w:rsidR="00166185" w:rsidRPr="00DC5A50" w14:paraId="2D357080" w14:textId="77777777" w:rsidTr="00A316ED">
        <w:tc>
          <w:tcPr>
            <w:tcW w:w="9864" w:type="dxa"/>
          </w:tcPr>
          <w:p w14:paraId="21E36F66" w14:textId="763B73D4" w:rsidR="00166185" w:rsidRPr="00DC5A50" w:rsidRDefault="00166185" w:rsidP="00D6733E">
            <w:pPr>
              <w:ind w:left="751" w:hanging="751"/>
              <w:jc w:val="both"/>
              <w:rPr>
                <w:szCs w:val="20"/>
              </w:rPr>
            </w:pPr>
            <w:bookmarkStart w:id="3" w:name="_Ref522216356"/>
            <w:r w:rsidRPr="00DC5A50">
              <w:rPr>
                <w:b/>
                <w:szCs w:val="20"/>
              </w:rPr>
              <w:t xml:space="preserve">Figure </w:t>
            </w:r>
            <w:r w:rsidRPr="00DC5A50">
              <w:rPr>
                <w:b/>
                <w:i/>
                <w:szCs w:val="20"/>
              </w:rPr>
              <w:fldChar w:fldCharType="begin"/>
            </w:r>
            <w:r w:rsidRPr="00DC5A50">
              <w:rPr>
                <w:b/>
                <w:szCs w:val="20"/>
              </w:rPr>
              <w:instrText xml:space="preserve"> SEQ Figure \* ARABIC </w:instrText>
            </w:r>
            <w:r w:rsidRPr="00DC5A50">
              <w:rPr>
                <w:b/>
                <w:i/>
                <w:szCs w:val="20"/>
              </w:rPr>
              <w:fldChar w:fldCharType="separate"/>
            </w:r>
            <w:r w:rsidR="006D3B3C">
              <w:rPr>
                <w:b/>
                <w:noProof/>
                <w:szCs w:val="20"/>
              </w:rPr>
              <w:t>3</w:t>
            </w:r>
            <w:r w:rsidRPr="00DC5A50">
              <w:rPr>
                <w:b/>
                <w:i/>
                <w:szCs w:val="20"/>
              </w:rPr>
              <w:fldChar w:fldCharType="end"/>
            </w:r>
            <w:bookmarkEnd w:id="3"/>
            <w:r w:rsidRPr="00DC5A50">
              <w:rPr>
                <w:b/>
                <w:szCs w:val="20"/>
              </w:rPr>
              <w:t xml:space="preserve">: </w:t>
            </w:r>
            <w:proofErr w:type="spellStart"/>
            <w:r w:rsidRPr="00DC5A50">
              <w:rPr>
                <w:szCs w:val="20"/>
              </w:rPr>
              <w:t>Zeh</w:t>
            </w:r>
            <w:proofErr w:type="spellEnd"/>
            <w:r w:rsidRPr="00DC5A50">
              <w:rPr>
                <w:szCs w:val="20"/>
              </w:rPr>
              <w:t xml:space="preserve"> plots of the performance statistics</w:t>
            </w:r>
            <w:r w:rsidR="00DC00A4">
              <w:rPr>
                <w:szCs w:val="20"/>
              </w:rPr>
              <w:t xml:space="preserve"> for the </w:t>
            </w:r>
            <w:r w:rsidR="00931D7E">
              <w:rPr>
                <w:szCs w:val="20"/>
              </w:rPr>
              <w:t>B</w:t>
            </w:r>
            <w:r w:rsidR="00DC00A4">
              <w:rPr>
                <w:szCs w:val="20"/>
              </w:rPr>
              <w:t xml:space="preserve">ase </w:t>
            </w:r>
            <w:r w:rsidR="00931D7E">
              <w:rPr>
                <w:szCs w:val="20"/>
              </w:rPr>
              <w:t>C</w:t>
            </w:r>
            <w:r w:rsidR="00DC00A4">
              <w:rPr>
                <w:szCs w:val="20"/>
              </w:rPr>
              <w:t>ase and the two robustness tests</w:t>
            </w:r>
            <w:r w:rsidR="00C05EDB">
              <w:rPr>
                <w:szCs w:val="20"/>
              </w:rPr>
              <w:t xml:space="preserve"> of the recommended revised OMP</w:t>
            </w:r>
            <w:r w:rsidR="00DC00A4">
              <w:rPr>
                <w:szCs w:val="20"/>
              </w:rPr>
              <w:t>, each reported for the RC OM</w:t>
            </w:r>
            <w:r w:rsidR="00853977">
              <w:rPr>
                <w:szCs w:val="20"/>
              </w:rPr>
              <w:t xml:space="preserve"> and</w:t>
            </w:r>
            <w:r w:rsidR="00DC00A4">
              <w:rPr>
                <w:szCs w:val="20"/>
              </w:rPr>
              <w:t xml:space="preserve"> an equal weighting across the whole RS.</w:t>
            </w:r>
            <w:r w:rsidR="00853977">
              <w:rPr>
                <w:szCs w:val="20"/>
              </w:rPr>
              <w:t xml:space="preserve"> Results for an equal weighting across the six ‘opt</w:t>
            </w:r>
            <w:r w:rsidR="005248E6">
              <w:rPr>
                <w:szCs w:val="20"/>
              </w:rPr>
              <w:t>i</w:t>
            </w:r>
            <w:r w:rsidR="00853977">
              <w:rPr>
                <w:szCs w:val="20"/>
              </w:rPr>
              <w:t>mistic’ OMs only have also been included in red.</w:t>
            </w:r>
          </w:p>
        </w:tc>
      </w:tr>
    </w:tbl>
    <w:p w14:paraId="7C5AA54B" w14:textId="242814A3" w:rsidR="00166185" w:rsidRPr="009D224E" w:rsidRDefault="00166185" w:rsidP="004F17A7"/>
    <w:sectPr w:rsidR="00166185" w:rsidRPr="009D224E" w:rsidSect="00015365">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DB228" w14:textId="77777777" w:rsidR="00910D3F" w:rsidRDefault="00910D3F" w:rsidP="000123C4">
      <w:pPr>
        <w:spacing w:after="0" w:line="240" w:lineRule="auto"/>
      </w:pPr>
      <w:r>
        <w:separator/>
      </w:r>
    </w:p>
  </w:endnote>
  <w:endnote w:type="continuationSeparator" w:id="0">
    <w:p w14:paraId="1C0A6528" w14:textId="77777777" w:rsidR="00910D3F" w:rsidRDefault="00910D3F" w:rsidP="0001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286837"/>
      <w:docPartObj>
        <w:docPartGallery w:val="Page Numbers (Bottom of Page)"/>
        <w:docPartUnique/>
      </w:docPartObj>
    </w:sdtPr>
    <w:sdtEndPr>
      <w:rPr>
        <w:noProof/>
      </w:rPr>
    </w:sdtEndPr>
    <w:sdtContent>
      <w:p w14:paraId="3EDFA430" w14:textId="40683B92" w:rsidR="0016054A" w:rsidRDefault="0016054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633BF7" w14:textId="77777777" w:rsidR="0016054A" w:rsidRDefault="0016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72F77" w14:textId="77777777" w:rsidR="00910D3F" w:rsidRDefault="00910D3F" w:rsidP="000123C4">
      <w:pPr>
        <w:spacing w:after="0" w:line="240" w:lineRule="auto"/>
      </w:pPr>
      <w:r>
        <w:separator/>
      </w:r>
    </w:p>
  </w:footnote>
  <w:footnote w:type="continuationSeparator" w:id="0">
    <w:p w14:paraId="3F74C33D" w14:textId="77777777" w:rsidR="00910D3F" w:rsidRDefault="00910D3F" w:rsidP="000123C4">
      <w:pPr>
        <w:spacing w:after="0" w:line="240" w:lineRule="auto"/>
      </w:pPr>
      <w:r>
        <w:continuationSeparator/>
      </w:r>
    </w:p>
  </w:footnote>
  <w:footnote w:id="1">
    <w:p w14:paraId="5B67AF9D" w14:textId="77777777" w:rsidR="0016054A" w:rsidRDefault="0016054A" w:rsidP="000123C4">
      <w:pPr>
        <w:pStyle w:val="FootnoteText"/>
      </w:pPr>
      <w:r>
        <w:rPr>
          <w:rStyle w:val="FootnoteReference"/>
        </w:rPr>
        <w:footnoteRef/>
      </w:r>
      <w:r>
        <w:t xml:space="preserve"> Marine Resource Assessment and Management Group, Department of Mathematics and Applied Mathematics, University of Cape Town, Rondebosch.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2ABB" w14:textId="0DA0100C" w:rsidR="0016054A" w:rsidRDefault="007557A5" w:rsidP="00E0186A">
    <w:pPr>
      <w:pStyle w:val="Header"/>
      <w:jc w:val="right"/>
    </w:pPr>
    <w:r>
      <w:tab/>
    </w:r>
    <w:r>
      <w:tab/>
      <w:t>MARAM/IWS/2018/Hake/</w:t>
    </w:r>
    <w:r w:rsidR="00E03078">
      <w:t>WP1</w:t>
    </w:r>
  </w:p>
  <w:p w14:paraId="21B41FFB" w14:textId="77777777" w:rsidR="0016054A" w:rsidRDefault="00160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C4"/>
    <w:rsid w:val="000123C4"/>
    <w:rsid w:val="00015365"/>
    <w:rsid w:val="00050526"/>
    <w:rsid w:val="00051F32"/>
    <w:rsid w:val="00052F4E"/>
    <w:rsid w:val="0009317F"/>
    <w:rsid w:val="000A629E"/>
    <w:rsid w:val="000B19E5"/>
    <w:rsid w:val="000B6B5E"/>
    <w:rsid w:val="000C167F"/>
    <w:rsid w:val="000D32DA"/>
    <w:rsid w:val="000F4521"/>
    <w:rsid w:val="0010456A"/>
    <w:rsid w:val="001209C0"/>
    <w:rsid w:val="00122C13"/>
    <w:rsid w:val="00124A35"/>
    <w:rsid w:val="00131F91"/>
    <w:rsid w:val="00134800"/>
    <w:rsid w:val="00140DCE"/>
    <w:rsid w:val="001434ED"/>
    <w:rsid w:val="00144567"/>
    <w:rsid w:val="0015505E"/>
    <w:rsid w:val="00155432"/>
    <w:rsid w:val="0016054A"/>
    <w:rsid w:val="001613ED"/>
    <w:rsid w:val="0016327C"/>
    <w:rsid w:val="00166185"/>
    <w:rsid w:val="001725A5"/>
    <w:rsid w:val="001761F3"/>
    <w:rsid w:val="001767EF"/>
    <w:rsid w:val="00182E8A"/>
    <w:rsid w:val="0018696E"/>
    <w:rsid w:val="00187352"/>
    <w:rsid w:val="00195CAD"/>
    <w:rsid w:val="001A6CC4"/>
    <w:rsid w:val="001B1BDE"/>
    <w:rsid w:val="001B4D77"/>
    <w:rsid w:val="001C008F"/>
    <w:rsid w:val="001C2F2B"/>
    <w:rsid w:val="001C4957"/>
    <w:rsid w:val="001C5C08"/>
    <w:rsid w:val="001D13CD"/>
    <w:rsid w:val="001D6FE9"/>
    <w:rsid w:val="001E2F10"/>
    <w:rsid w:val="00203D0A"/>
    <w:rsid w:val="00211B65"/>
    <w:rsid w:val="002137B8"/>
    <w:rsid w:val="0021724F"/>
    <w:rsid w:val="0022066C"/>
    <w:rsid w:val="00230163"/>
    <w:rsid w:val="002303B3"/>
    <w:rsid w:val="00240066"/>
    <w:rsid w:val="002441A6"/>
    <w:rsid w:val="00284C5F"/>
    <w:rsid w:val="00286541"/>
    <w:rsid w:val="00293339"/>
    <w:rsid w:val="002B6282"/>
    <w:rsid w:val="002D29DE"/>
    <w:rsid w:val="002E5B3D"/>
    <w:rsid w:val="002F478B"/>
    <w:rsid w:val="002F4BF9"/>
    <w:rsid w:val="00335747"/>
    <w:rsid w:val="00355D9F"/>
    <w:rsid w:val="003F109C"/>
    <w:rsid w:val="00415B31"/>
    <w:rsid w:val="004359F6"/>
    <w:rsid w:val="0044033B"/>
    <w:rsid w:val="00441D29"/>
    <w:rsid w:val="00444BF7"/>
    <w:rsid w:val="00447593"/>
    <w:rsid w:val="00447ADB"/>
    <w:rsid w:val="004665A6"/>
    <w:rsid w:val="00481682"/>
    <w:rsid w:val="00486913"/>
    <w:rsid w:val="00487CB9"/>
    <w:rsid w:val="0049636C"/>
    <w:rsid w:val="004A19DB"/>
    <w:rsid w:val="004A1C52"/>
    <w:rsid w:val="004A5358"/>
    <w:rsid w:val="004A7F26"/>
    <w:rsid w:val="004B60A8"/>
    <w:rsid w:val="004B7B46"/>
    <w:rsid w:val="004C1216"/>
    <w:rsid w:val="004C2E88"/>
    <w:rsid w:val="004D5075"/>
    <w:rsid w:val="004D6758"/>
    <w:rsid w:val="004E27D3"/>
    <w:rsid w:val="004F0B85"/>
    <w:rsid w:val="004F17A7"/>
    <w:rsid w:val="00515BE0"/>
    <w:rsid w:val="00521E48"/>
    <w:rsid w:val="005248E6"/>
    <w:rsid w:val="00525CFD"/>
    <w:rsid w:val="00550F63"/>
    <w:rsid w:val="0056200D"/>
    <w:rsid w:val="005621B6"/>
    <w:rsid w:val="005760B7"/>
    <w:rsid w:val="00576846"/>
    <w:rsid w:val="00584BA3"/>
    <w:rsid w:val="00590056"/>
    <w:rsid w:val="005A3591"/>
    <w:rsid w:val="005A37BB"/>
    <w:rsid w:val="005A7EA9"/>
    <w:rsid w:val="005B1813"/>
    <w:rsid w:val="005C1250"/>
    <w:rsid w:val="005C5CDE"/>
    <w:rsid w:val="005D0CE0"/>
    <w:rsid w:val="005E586D"/>
    <w:rsid w:val="005F35AB"/>
    <w:rsid w:val="00607280"/>
    <w:rsid w:val="00620BBB"/>
    <w:rsid w:val="00621FFB"/>
    <w:rsid w:val="006332BD"/>
    <w:rsid w:val="00637DA1"/>
    <w:rsid w:val="0065594D"/>
    <w:rsid w:val="00663780"/>
    <w:rsid w:val="006740B0"/>
    <w:rsid w:val="00674B72"/>
    <w:rsid w:val="0067575F"/>
    <w:rsid w:val="00681520"/>
    <w:rsid w:val="00683722"/>
    <w:rsid w:val="006854D9"/>
    <w:rsid w:val="00696B23"/>
    <w:rsid w:val="006D3B3C"/>
    <w:rsid w:val="006F0AA7"/>
    <w:rsid w:val="00710BBF"/>
    <w:rsid w:val="0071175D"/>
    <w:rsid w:val="00720410"/>
    <w:rsid w:val="00726E66"/>
    <w:rsid w:val="00731E94"/>
    <w:rsid w:val="007431CC"/>
    <w:rsid w:val="00743786"/>
    <w:rsid w:val="007557A5"/>
    <w:rsid w:val="0076452C"/>
    <w:rsid w:val="0077138B"/>
    <w:rsid w:val="00772C5F"/>
    <w:rsid w:val="007736DA"/>
    <w:rsid w:val="007C6C17"/>
    <w:rsid w:val="007D5DF2"/>
    <w:rsid w:val="007E1CFC"/>
    <w:rsid w:val="007E73F2"/>
    <w:rsid w:val="007E76FE"/>
    <w:rsid w:val="007E7902"/>
    <w:rsid w:val="00803A97"/>
    <w:rsid w:val="00806C7D"/>
    <w:rsid w:val="00823238"/>
    <w:rsid w:val="00825761"/>
    <w:rsid w:val="00841AEC"/>
    <w:rsid w:val="00853977"/>
    <w:rsid w:val="008560A8"/>
    <w:rsid w:val="0086025D"/>
    <w:rsid w:val="00866CE1"/>
    <w:rsid w:val="008730AA"/>
    <w:rsid w:val="00876C30"/>
    <w:rsid w:val="00886436"/>
    <w:rsid w:val="008871A9"/>
    <w:rsid w:val="008A685F"/>
    <w:rsid w:val="008C30D5"/>
    <w:rsid w:val="008D2A75"/>
    <w:rsid w:val="008E33A2"/>
    <w:rsid w:val="00910D3F"/>
    <w:rsid w:val="00924D44"/>
    <w:rsid w:val="00931D7E"/>
    <w:rsid w:val="009531E6"/>
    <w:rsid w:val="009550B3"/>
    <w:rsid w:val="009629D6"/>
    <w:rsid w:val="00980A10"/>
    <w:rsid w:val="00992C14"/>
    <w:rsid w:val="009A0378"/>
    <w:rsid w:val="009A6FAA"/>
    <w:rsid w:val="009C23B2"/>
    <w:rsid w:val="009D1867"/>
    <w:rsid w:val="009D224E"/>
    <w:rsid w:val="009E0CE6"/>
    <w:rsid w:val="009F08EB"/>
    <w:rsid w:val="009F0BE1"/>
    <w:rsid w:val="00A106F9"/>
    <w:rsid w:val="00A153A5"/>
    <w:rsid w:val="00A17BB1"/>
    <w:rsid w:val="00A316ED"/>
    <w:rsid w:val="00A45891"/>
    <w:rsid w:val="00A45CC8"/>
    <w:rsid w:val="00A55A32"/>
    <w:rsid w:val="00A66ECE"/>
    <w:rsid w:val="00A713C7"/>
    <w:rsid w:val="00A71D80"/>
    <w:rsid w:val="00A87CB1"/>
    <w:rsid w:val="00AB39CE"/>
    <w:rsid w:val="00AC24BD"/>
    <w:rsid w:val="00AC522D"/>
    <w:rsid w:val="00AC5FE1"/>
    <w:rsid w:val="00AD08FF"/>
    <w:rsid w:val="00AF6C83"/>
    <w:rsid w:val="00B001FC"/>
    <w:rsid w:val="00B0519F"/>
    <w:rsid w:val="00B05FB8"/>
    <w:rsid w:val="00B13326"/>
    <w:rsid w:val="00B431FC"/>
    <w:rsid w:val="00B55241"/>
    <w:rsid w:val="00B700C8"/>
    <w:rsid w:val="00B87AB1"/>
    <w:rsid w:val="00B87C37"/>
    <w:rsid w:val="00B96122"/>
    <w:rsid w:val="00BA5778"/>
    <w:rsid w:val="00BB0845"/>
    <w:rsid w:val="00BB72CC"/>
    <w:rsid w:val="00BC1F6A"/>
    <w:rsid w:val="00BC623D"/>
    <w:rsid w:val="00BD64CA"/>
    <w:rsid w:val="00BE1045"/>
    <w:rsid w:val="00C0087B"/>
    <w:rsid w:val="00C026FB"/>
    <w:rsid w:val="00C05EDB"/>
    <w:rsid w:val="00C0619E"/>
    <w:rsid w:val="00C15CF7"/>
    <w:rsid w:val="00C20AE3"/>
    <w:rsid w:val="00C251A7"/>
    <w:rsid w:val="00C35528"/>
    <w:rsid w:val="00C37A0B"/>
    <w:rsid w:val="00C430C7"/>
    <w:rsid w:val="00C5098B"/>
    <w:rsid w:val="00C6178E"/>
    <w:rsid w:val="00C75980"/>
    <w:rsid w:val="00C8147A"/>
    <w:rsid w:val="00C96726"/>
    <w:rsid w:val="00CA2B82"/>
    <w:rsid w:val="00CB00A4"/>
    <w:rsid w:val="00CB1836"/>
    <w:rsid w:val="00CD1834"/>
    <w:rsid w:val="00CD7B79"/>
    <w:rsid w:val="00D1001C"/>
    <w:rsid w:val="00D20F30"/>
    <w:rsid w:val="00D42451"/>
    <w:rsid w:val="00D578A3"/>
    <w:rsid w:val="00D6479B"/>
    <w:rsid w:val="00D6733E"/>
    <w:rsid w:val="00D93A9F"/>
    <w:rsid w:val="00D941D5"/>
    <w:rsid w:val="00DB7A89"/>
    <w:rsid w:val="00DC00A4"/>
    <w:rsid w:val="00DC5A50"/>
    <w:rsid w:val="00DC7921"/>
    <w:rsid w:val="00DD6377"/>
    <w:rsid w:val="00DF46F8"/>
    <w:rsid w:val="00DF5848"/>
    <w:rsid w:val="00E010B1"/>
    <w:rsid w:val="00E01468"/>
    <w:rsid w:val="00E0186A"/>
    <w:rsid w:val="00E01DC4"/>
    <w:rsid w:val="00E03078"/>
    <w:rsid w:val="00E1435C"/>
    <w:rsid w:val="00E17399"/>
    <w:rsid w:val="00E301AF"/>
    <w:rsid w:val="00E30CF8"/>
    <w:rsid w:val="00E405CE"/>
    <w:rsid w:val="00E46322"/>
    <w:rsid w:val="00E46B7B"/>
    <w:rsid w:val="00E656D1"/>
    <w:rsid w:val="00E75D3D"/>
    <w:rsid w:val="00E75F9D"/>
    <w:rsid w:val="00E82945"/>
    <w:rsid w:val="00EC3F97"/>
    <w:rsid w:val="00EC4A45"/>
    <w:rsid w:val="00ED7D38"/>
    <w:rsid w:val="00EF2CCE"/>
    <w:rsid w:val="00F02149"/>
    <w:rsid w:val="00F03353"/>
    <w:rsid w:val="00F07E3A"/>
    <w:rsid w:val="00F21F4B"/>
    <w:rsid w:val="00F4060B"/>
    <w:rsid w:val="00F61AC1"/>
    <w:rsid w:val="00F72E35"/>
    <w:rsid w:val="00F80BA6"/>
    <w:rsid w:val="00F8762F"/>
    <w:rsid w:val="00F90CEF"/>
    <w:rsid w:val="00F95113"/>
    <w:rsid w:val="00FA0731"/>
    <w:rsid w:val="00FA46BD"/>
    <w:rsid w:val="00FB3856"/>
    <w:rsid w:val="00FB4152"/>
    <w:rsid w:val="00FC468A"/>
    <w:rsid w:val="00FC71C3"/>
    <w:rsid w:val="00FD19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62667"/>
  <w15:docId w15:val="{2DF05550-ED20-4843-B167-A7E0D2045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E35"/>
    <w:rPr>
      <w:sz w:val="20"/>
    </w:rPr>
  </w:style>
  <w:style w:type="paragraph" w:styleId="Heading1">
    <w:name w:val="heading 1"/>
    <w:basedOn w:val="Normal"/>
    <w:next w:val="Normal"/>
    <w:link w:val="Heading1Char"/>
    <w:uiPriority w:val="9"/>
    <w:qFormat/>
    <w:rsid w:val="000123C4"/>
    <w:pPr>
      <w:keepNext/>
      <w:keepLines/>
      <w:spacing w:before="240" w:after="24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0123C4"/>
    <w:pPr>
      <w:keepNext/>
      <w:keepLines/>
      <w:spacing w:before="240" w:after="12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3C4"/>
    <w:rPr>
      <w:rFonts w:ascii="Calibri" w:eastAsiaTheme="majorEastAsia" w:hAnsi="Calibri" w:cstheme="majorBidi"/>
      <w:b/>
      <w:sz w:val="28"/>
      <w:szCs w:val="32"/>
    </w:rPr>
  </w:style>
  <w:style w:type="character" w:customStyle="1" w:styleId="Heading2Char">
    <w:name w:val="Heading 2 Char"/>
    <w:basedOn w:val="DefaultParagraphFont"/>
    <w:link w:val="Heading2"/>
    <w:uiPriority w:val="9"/>
    <w:rsid w:val="000123C4"/>
    <w:rPr>
      <w:rFonts w:ascii="Calibri" w:eastAsiaTheme="majorEastAsia" w:hAnsi="Calibri" w:cstheme="majorBidi"/>
      <w:b/>
      <w:sz w:val="24"/>
      <w:szCs w:val="26"/>
    </w:rPr>
  </w:style>
  <w:style w:type="paragraph" w:styleId="FootnoteText">
    <w:name w:val="footnote text"/>
    <w:basedOn w:val="Normal"/>
    <w:link w:val="FootnoteTextChar"/>
    <w:uiPriority w:val="99"/>
    <w:semiHidden/>
    <w:unhideWhenUsed/>
    <w:rsid w:val="000123C4"/>
    <w:pPr>
      <w:spacing w:after="0" w:line="240" w:lineRule="auto"/>
      <w:jc w:val="both"/>
    </w:pPr>
    <w:rPr>
      <w:szCs w:val="20"/>
    </w:rPr>
  </w:style>
  <w:style w:type="character" w:customStyle="1" w:styleId="FootnoteTextChar">
    <w:name w:val="Footnote Text Char"/>
    <w:basedOn w:val="DefaultParagraphFont"/>
    <w:link w:val="FootnoteText"/>
    <w:uiPriority w:val="99"/>
    <w:semiHidden/>
    <w:rsid w:val="000123C4"/>
    <w:rPr>
      <w:sz w:val="20"/>
      <w:szCs w:val="20"/>
    </w:rPr>
  </w:style>
  <w:style w:type="character" w:styleId="FootnoteReference">
    <w:name w:val="footnote reference"/>
    <w:basedOn w:val="DefaultParagraphFont"/>
    <w:uiPriority w:val="99"/>
    <w:semiHidden/>
    <w:unhideWhenUsed/>
    <w:rsid w:val="000123C4"/>
    <w:rPr>
      <w:vertAlign w:val="superscript"/>
    </w:rPr>
  </w:style>
  <w:style w:type="table" w:styleId="TableGrid">
    <w:name w:val="Table Grid"/>
    <w:basedOn w:val="TableNormal"/>
    <w:uiPriority w:val="39"/>
    <w:rsid w:val="00F9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5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50"/>
  </w:style>
  <w:style w:type="paragraph" w:styleId="Footer">
    <w:name w:val="footer"/>
    <w:basedOn w:val="Normal"/>
    <w:link w:val="FooterChar"/>
    <w:uiPriority w:val="99"/>
    <w:unhideWhenUsed/>
    <w:rsid w:val="00DC5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A50"/>
  </w:style>
  <w:style w:type="character" w:styleId="PlaceholderText">
    <w:name w:val="Placeholder Text"/>
    <w:basedOn w:val="DefaultParagraphFont"/>
    <w:uiPriority w:val="99"/>
    <w:semiHidden/>
    <w:rsid w:val="00F21F4B"/>
    <w:rPr>
      <w:color w:val="808080"/>
    </w:rPr>
  </w:style>
  <w:style w:type="character" w:styleId="CommentReference">
    <w:name w:val="annotation reference"/>
    <w:basedOn w:val="DefaultParagraphFont"/>
    <w:uiPriority w:val="99"/>
    <w:semiHidden/>
    <w:unhideWhenUsed/>
    <w:rsid w:val="005760B7"/>
    <w:rPr>
      <w:sz w:val="16"/>
      <w:szCs w:val="16"/>
    </w:rPr>
  </w:style>
  <w:style w:type="paragraph" w:styleId="CommentText">
    <w:name w:val="annotation text"/>
    <w:basedOn w:val="Normal"/>
    <w:link w:val="CommentTextChar"/>
    <w:uiPriority w:val="99"/>
    <w:semiHidden/>
    <w:unhideWhenUsed/>
    <w:rsid w:val="005760B7"/>
    <w:pPr>
      <w:spacing w:line="240" w:lineRule="auto"/>
    </w:pPr>
    <w:rPr>
      <w:szCs w:val="20"/>
    </w:rPr>
  </w:style>
  <w:style w:type="character" w:customStyle="1" w:styleId="CommentTextChar">
    <w:name w:val="Comment Text Char"/>
    <w:basedOn w:val="DefaultParagraphFont"/>
    <w:link w:val="CommentText"/>
    <w:uiPriority w:val="99"/>
    <w:semiHidden/>
    <w:rsid w:val="005760B7"/>
    <w:rPr>
      <w:sz w:val="20"/>
      <w:szCs w:val="20"/>
    </w:rPr>
  </w:style>
  <w:style w:type="paragraph" w:styleId="CommentSubject">
    <w:name w:val="annotation subject"/>
    <w:basedOn w:val="CommentText"/>
    <w:next w:val="CommentText"/>
    <w:link w:val="CommentSubjectChar"/>
    <w:uiPriority w:val="99"/>
    <w:semiHidden/>
    <w:unhideWhenUsed/>
    <w:rsid w:val="005760B7"/>
    <w:rPr>
      <w:b/>
      <w:bCs/>
    </w:rPr>
  </w:style>
  <w:style w:type="character" w:customStyle="1" w:styleId="CommentSubjectChar">
    <w:name w:val="Comment Subject Char"/>
    <w:basedOn w:val="CommentTextChar"/>
    <w:link w:val="CommentSubject"/>
    <w:uiPriority w:val="99"/>
    <w:semiHidden/>
    <w:rsid w:val="005760B7"/>
    <w:rPr>
      <w:b/>
      <w:bCs/>
      <w:sz w:val="20"/>
      <w:szCs w:val="20"/>
    </w:rPr>
  </w:style>
  <w:style w:type="paragraph" w:styleId="BalloonText">
    <w:name w:val="Balloon Text"/>
    <w:basedOn w:val="Normal"/>
    <w:link w:val="BalloonTextChar"/>
    <w:uiPriority w:val="99"/>
    <w:semiHidden/>
    <w:unhideWhenUsed/>
    <w:rsid w:val="00576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0B7"/>
    <w:rPr>
      <w:rFonts w:ascii="Segoe UI" w:hAnsi="Segoe UI" w:cs="Segoe UI"/>
      <w:sz w:val="18"/>
      <w:szCs w:val="18"/>
    </w:rPr>
  </w:style>
  <w:style w:type="paragraph" w:styleId="ListParagraph">
    <w:name w:val="List Paragraph"/>
    <w:basedOn w:val="Normal"/>
    <w:uiPriority w:val="34"/>
    <w:qFormat/>
    <w:rsid w:val="00A713C7"/>
    <w:pPr>
      <w:ind w:left="720"/>
      <w:contextualSpacing/>
    </w:pPr>
  </w:style>
  <w:style w:type="paragraph" w:styleId="Revision">
    <w:name w:val="Revision"/>
    <w:hidden/>
    <w:uiPriority w:val="99"/>
    <w:semiHidden/>
    <w:rsid w:val="00C05EDB"/>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33398">
      <w:bodyDiv w:val="1"/>
      <w:marLeft w:val="0"/>
      <w:marRight w:val="0"/>
      <w:marTop w:val="0"/>
      <w:marBottom w:val="0"/>
      <w:divBdr>
        <w:top w:val="none" w:sz="0" w:space="0" w:color="auto"/>
        <w:left w:val="none" w:sz="0" w:space="0" w:color="auto"/>
        <w:bottom w:val="none" w:sz="0" w:space="0" w:color="auto"/>
        <w:right w:val="none" w:sz="0" w:space="0" w:color="auto"/>
      </w:divBdr>
    </w:div>
    <w:div w:id="144051627">
      <w:bodyDiv w:val="1"/>
      <w:marLeft w:val="0"/>
      <w:marRight w:val="0"/>
      <w:marTop w:val="0"/>
      <w:marBottom w:val="0"/>
      <w:divBdr>
        <w:top w:val="none" w:sz="0" w:space="0" w:color="auto"/>
        <w:left w:val="none" w:sz="0" w:space="0" w:color="auto"/>
        <w:bottom w:val="none" w:sz="0" w:space="0" w:color="auto"/>
        <w:right w:val="none" w:sz="0" w:space="0" w:color="auto"/>
      </w:divBdr>
    </w:div>
    <w:div w:id="726996552">
      <w:bodyDiv w:val="1"/>
      <w:marLeft w:val="0"/>
      <w:marRight w:val="0"/>
      <w:marTop w:val="0"/>
      <w:marBottom w:val="0"/>
      <w:divBdr>
        <w:top w:val="none" w:sz="0" w:space="0" w:color="auto"/>
        <w:left w:val="none" w:sz="0" w:space="0" w:color="auto"/>
        <w:bottom w:val="none" w:sz="0" w:space="0" w:color="auto"/>
        <w:right w:val="none" w:sz="0" w:space="0" w:color="auto"/>
      </w:divBdr>
    </w:div>
    <w:div w:id="879437663">
      <w:bodyDiv w:val="1"/>
      <w:marLeft w:val="0"/>
      <w:marRight w:val="0"/>
      <w:marTop w:val="0"/>
      <w:marBottom w:val="0"/>
      <w:divBdr>
        <w:top w:val="none" w:sz="0" w:space="0" w:color="auto"/>
        <w:left w:val="none" w:sz="0" w:space="0" w:color="auto"/>
        <w:bottom w:val="none" w:sz="0" w:space="0" w:color="auto"/>
        <w:right w:val="none" w:sz="0" w:space="0" w:color="auto"/>
      </w:divBdr>
    </w:div>
    <w:div w:id="1045325188">
      <w:bodyDiv w:val="1"/>
      <w:marLeft w:val="0"/>
      <w:marRight w:val="0"/>
      <w:marTop w:val="0"/>
      <w:marBottom w:val="0"/>
      <w:divBdr>
        <w:top w:val="none" w:sz="0" w:space="0" w:color="auto"/>
        <w:left w:val="none" w:sz="0" w:space="0" w:color="auto"/>
        <w:bottom w:val="none" w:sz="0" w:space="0" w:color="auto"/>
        <w:right w:val="none" w:sz="0" w:space="0" w:color="auto"/>
      </w:divBdr>
    </w:div>
    <w:div w:id="1100293842">
      <w:bodyDiv w:val="1"/>
      <w:marLeft w:val="0"/>
      <w:marRight w:val="0"/>
      <w:marTop w:val="0"/>
      <w:marBottom w:val="0"/>
      <w:divBdr>
        <w:top w:val="none" w:sz="0" w:space="0" w:color="auto"/>
        <w:left w:val="none" w:sz="0" w:space="0" w:color="auto"/>
        <w:bottom w:val="none" w:sz="0" w:space="0" w:color="auto"/>
        <w:right w:val="none" w:sz="0" w:space="0" w:color="auto"/>
      </w:divBdr>
    </w:div>
    <w:div w:id="1296376055">
      <w:bodyDiv w:val="1"/>
      <w:marLeft w:val="0"/>
      <w:marRight w:val="0"/>
      <w:marTop w:val="0"/>
      <w:marBottom w:val="0"/>
      <w:divBdr>
        <w:top w:val="none" w:sz="0" w:space="0" w:color="auto"/>
        <w:left w:val="none" w:sz="0" w:space="0" w:color="auto"/>
        <w:bottom w:val="none" w:sz="0" w:space="0" w:color="auto"/>
        <w:right w:val="none" w:sz="0" w:space="0" w:color="auto"/>
      </w:divBdr>
    </w:div>
    <w:div w:id="1394541223">
      <w:bodyDiv w:val="1"/>
      <w:marLeft w:val="0"/>
      <w:marRight w:val="0"/>
      <w:marTop w:val="0"/>
      <w:marBottom w:val="0"/>
      <w:divBdr>
        <w:top w:val="none" w:sz="0" w:space="0" w:color="auto"/>
        <w:left w:val="none" w:sz="0" w:space="0" w:color="auto"/>
        <w:bottom w:val="none" w:sz="0" w:space="0" w:color="auto"/>
        <w:right w:val="none" w:sz="0" w:space="0" w:color="auto"/>
      </w:divBdr>
    </w:div>
    <w:div w:id="1448502330">
      <w:bodyDiv w:val="1"/>
      <w:marLeft w:val="0"/>
      <w:marRight w:val="0"/>
      <w:marTop w:val="0"/>
      <w:marBottom w:val="0"/>
      <w:divBdr>
        <w:top w:val="none" w:sz="0" w:space="0" w:color="auto"/>
        <w:left w:val="none" w:sz="0" w:space="0" w:color="auto"/>
        <w:bottom w:val="none" w:sz="0" w:space="0" w:color="auto"/>
        <w:right w:val="none" w:sz="0" w:space="0" w:color="auto"/>
      </w:divBdr>
    </w:div>
    <w:div w:id="1683579782">
      <w:bodyDiv w:val="1"/>
      <w:marLeft w:val="0"/>
      <w:marRight w:val="0"/>
      <w:marTop w:val="0"/>
      <w:marBottom w:val="0"/>
      <w:divBdr>
        <w:top w:val="none" w:sz="0" w:space="0" w:color="auto"/>
        <w:left w:val="none" w:sz="0" w:space="0" w:color="auto"/>
        <w:bottom w:val="none" w:sz="0" w:space="0" w:color="auto"/>
        <w:right w:val="none" w:sz="0" w:space="0" w:color="auto"/>
      </w:divBdr>
    </w:div>
    <w:div w:id="21465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8841B-744E-49D2-92A5-C74AC85D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mlland028@myuct.ac.za</dc:creator>
  <cp:lastModifiedBy>Melissa Jacobs</cp:lastModifiedBy>
  <cp:revision>2</cp:revision>
  <cp:lastPrinted>2018-11-24T20:54:00Z</cp:lastPrinted>
  <dcterms:created xsi:type="dcterms:W3CDTF">2018-11-26T12:49:00Z</dcterms:created>
  <dcterms:modified xsi:type="dcterms:W3CDTF">2018-11-26T12:49:00Z</dcterms:modified>
</cp:coreProperties>
</file>