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D9807" w14:textId="77777777" w:rsidR="004D29BE" w:rsidRPr="00713199" w:rsidRDefault="004D29BE" w:rsidP="002423C9">
      <w:pPr>
        <w:spacing w:line="360" w:lineRule="auto"/>
        <w:rPr>
          <w:b/>
          <w:color w:val="292526"/>
          <w:sz w:val="24"/>
          <w:szCs w:val="24"/>
        </w:rPr>
      </w:pPr>
      <w:bookmarkStart w:id="0" w:name="_GoBack"/>
      <w:bookmarkEnd w:id="0"/>
      <w:r w:rsidRPr="00713199">
        <w:rPr>
          <w:b/>
          <w:color w:val="292526"/>
          <w:sz w:val="24"/>
          <w:szCs w:val="24"/>
        </w:rPr>
        <w:t xml:space="preserve">A state-space approach to approximate changes trawl survey catchability for </w:t>
      </w:r>
      <w:r w:rsidRPr="00713199">
        <w:rPr>
          <w:b/>
          <w:i/>
          <w:color w:val="292526"/>
          <w:sz w:val="24"/>
          <w:szCs w:val="24"/>
        </w:rPr>
        <w:t xml:space="preserve">Merluccius paradoxus </w:t>
      </w:r>
      <w:r w:rsidRPr="00713199">
        <w:rPr>
          <w:b/>
          <w:color w:val="292526"/>
          <w:sz w:val="24"/>
          <w:szCs w:val="24"/>
        </w:rPr>
        <w:t xml:space="preserve">and </w:t>
      </w:r>
      <w:r w:rsidRPr="00713199">
        <w:rPr>
          <w:b/>
          <w:i/>
          <w:color w:val="292526"/>
          <w:sz w:val="24"/>
          <w:szCs w:val="24"/>
        </w:rPr>
        <w:t xml:space="preserve">M. </w:t>
      </w:r>
      <w:proofErr w:type="spellStart"/>
      <w:r w:rsidRPr="00713199">
        <w:rPr>
          <w:b/>
          <w:i/>
          <w:color w:val="292526"/>
          <w:sz w:val="24"/>
          <w:szCs w:val="24"/>
        </w:rPr>
        <w:t>capensis</w:t>
      </w:r>
      <w:proofErr w:type="spellEnd"/>
      <w:r w:rsidRPr="00713199">
        <w:rPr>
          <w:b/>
          <w:i/>
          <w:color w:val="292526"/>
          <w:sz w:val="24"/>
          <w:szCs w:val="24"/>
        </w:rPr>
        <w:t xml:space="preserve">  </w:t>
      </w:r>
      <w:r w:rsidRPr="00713199">
        <w:rPr>
          <w:b/>
          <w:color w:val="292526"/>
          <w:sz w:val="24"/>
          <w:szCs w:val="24"/>
        </w:rPr>
        <w:t xml:space="preserve"> </w:t>
      </w:r>
    </w:p>
    <w:p w14:paraId="17AE1E4F" w14:textId="77777777" w:rsidR="00713199" w:rsidRDefault="00713199" w:rsidP="00713199">
      <w:pPr>
        <w:pStyle w:val="Default"/>
      </w:pPr>
    </w:p>
    <w:p w14:paraId="0DCD8768" w14:textId="77777777" w:rsidR="00713199" w:rsidRDefault="00713199" w:rsidP="00713199">
      <w:pPr>
        <w:pStyle w:val="Default"/>
        <w:rPr>
          <w:sz w:val="16"/>
          <w:szCs w:val="16"/>
        </w:rPr>
      </w:pPr>
      <w:r>
        <w:t xml:space="preserve"> </w:t>
      </w:r>
      <w:r>
        <w:rPr>
          <w:sz w:val="23"/>
          <w:szCs w:val="23"/>
        </w:rPr>
        <w:t>Henning Winker</w:t>
      </w:r>
      <w:r w:rsidRPr="00713199">
        <w:rPr>
          <w:sz w:val="23"/>
          <w:szCs w:val="23"/>
          <w:vertAlign w:val="superscript"/>
        </w:rPr>
        <w:t>1</w:t>
      </w:r>
    </w:p>
    <w:p w14:paraId="20D057EE" w14:textId="77777777" w:rsidR="00C670FE" w:rsidRDefault="00713199" w:rsidP="00713199">
      <w:pPr>
        <w:spacing w:after="0" w:line="360" w:lineRule="auto"/>
        <w:rPr>
          <w:rFonts w:ascii="Calibri" w:hAnsi="Calibri" w:cs="Calibri"/>
          <w:i/>
          <w:iCs/>
        </w:rPr>
      </w:pPr>
      <w:r w:rsidRPr="00713199">
        <w:rPr>
          <w:rFonts w:ascii="Calibri" w:hAnsi="Calibri" w:cs="Calibri"/>
          <w:i/>
          <w:iCs/>
          <w:vertAlign w:val="superscript"/>
        </w:rPr>
        <w:t>1</w:t>
      </w:r>
      <w:r>
        <w:rPr>
          <w:rFonts w:ascii="Calibri" w:hAnsi="Calibri" w:cs="Calibri"/>
          <w:i/>
          <w:iCs/>
        </w:rPr>
        <w:t>DAFF - Department for Agriculture, Forestry &amp; Fisheries, Cape Town, South Africa</w:t>
      </w:r>
    </w:p>
    <w:p w14:paraId="73CA134F" w14:textId="77777777" w:rsidR="00640CBD" w:rsidRDefault="00640CBD" w:rsidP="00921D89">
      <w:pPr>
        <w:spacing w:after="0" w:line="360" w:lineRule="auto"/>
      </w:pPr>
    </w:p>
    <w:p w14:paraId="2A53B357" w14:textId="77777777" w:rsidR="00172671" w:rsidRDefault="004D29BE" w:rsidP="00921D8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val="en-ZA" w:eastAsia="en-ZA"/>
        </w:rPr>
      </w:pPr>
      <w:r>
        <w:t>This paper presents an initial analysis</w:t>
      </w:r>
      <w:r w:rsidR="00713199">
        <w:t xml:space="preserve"> that</w:t>
      </w:r>
      <w:r w:rsidR="00640CBD">
        <w:t xml:space="preserve"> aim</w:t>
      </w:r>
      <w:r w:rsidR="00713199">
        <w:t>ed</w:t>
      </w:r>
      <w:r>
        <w:t xml:space="preserve"> </w:t>
      </w:r>
      <w:r w:rsidR="00640CBD">
        <w:t xml:space="preserve">to </w:t>
      </w:r>
      <w:r>
        <w:t>explore</w:t>
      </w:r>
      <w:r w:rsidR="0064024C">
        <w:t xml:space="preserve"> p</w:t>
      </w:r>
      <w:r w:rsidR="00172671">
        <w:t>otential difference</w:t>
      </w:r>
      <w:r w:rsidR="00921D89">
        <w:t>s</w:t>
      </w:r>
      <w:r w:rsidR="0064024C">
        <w:t xml:space="preserve"> in </w:t>
      </w:r>
      <w:r w:rsidR="0064024C" w:rsidRPr="0064024C">
        <w:t>trawl survey catchability</w:t>
      </w:r>
      <w:r w:rsidR="00172671">
        <w:t xml:space="preserve"> (</w:t>
      </w:r>
      <w:r w:rsidR="00172671">
        <w:rPr>
          <w:i/>
        </w:rPr>
        <w:t>q</w:t>
      </w:r>
      <w:r w:rsidR="00172671">
        <w:t xml:space="preserve">) </w:t>
      </w:r>
      <w:r w:rsidR="00172671" w:rsidRPr="00172671">
        <w:t xml:space="preserve">for </w:t>
      </w:r>
      <w:r w:rsidR="00172671" w:rsidRPr="00172671">
        <w:rPr>
          <w:i/>
        </w:rPr>
        <w:t xml:space="preserve">Merluccius paradoxus </w:t>
      </w:r>
      <w:r w:rsidR="00172671" w:rsidRPr="00172671">
        <w:t xml:space="preserve">and </w:t>
      </w:r>
      <w:r w:rsidR="00172671" w:rsidRPr="00172671">
        <w:rPr>
          <w:i/>
        </w:rPr>
        <w:t xml:space="preserve">M. </w:t>
      </w:r>
      <w:proofErr w:type="spellStart"/>
      <w:r w:rsidR="00172671" w:rsidRPr="00172671">
        <w:rPr>
          <w:i/>
        </w:rPr>
        <w:t>capensis</w:t>
      </w:r>
      <w:proofErr w:type="spellEnd"/>
      <w:r>
        <w:t xml:space="preserve"> </w:t>
      </w:r>
      <w:r w:rsidR="0064024C">
        <w:t xml:space="preserve">between the research vessel RV Africana and the commercial vessels </w:t>
      </w:r>
      <w:r w:rsidR="0064024C" w:rsidRPr="0064024C">
        <w:rPr>
          <w:rFonts w:ascii="Calibri" w:eastAsia="Times New Roman" w:hAnsi="Calibri" w:cs="Times New Roman"/>
          <w:color w:val="000000"/>
          <w:lang w:val="en-ZA" w:eastAsia="en-ZA"/>
        </w:rPr>
        <w:t>FV Andromeda</w:t>
      </w:r>
      <w:r w:rsidR="0064024C">
        <w:rPr>
          <w:rFonts w:ascii="Calibri" w:eastAsia="Times New Roman" w:hAnsi="Calibri" w:cs="Times New Roman"/>
          <w:color w:val="000000"/>
          <w:lang w:val="en-ZA" w:eastAsia="en-ZA"/>
        </w:rPr>
        <w:t xml:space="preserve"> and </w:t>
      </w:r>
      <w:r w:rsidR="0064024C" w:rsidRPr="0064024C">
        <w:rPr>
          <w:rFonts w:ascii="Calibri" w:eastAsia="Times New Roman" w:hAnsi="Calibri" w:cs="Times New Roman"/>
          <w:color w:val="000000"/>
          <w:lang w:val="en-ZA" w:eastAsia="en-ZA"/>
        </w:rPr>
        <w:t>FV Compass Challenger</w:t>
      </w:r>
      <w:r w:rsidR="00C86A4C">
        <w:rPr>
          <w:rFonts w:ascii="Calibri" w:eastAsia="Times New Roman" w:hAnsi="Calibri" w:cs="Times New Roman"/>
          <w:color w:val="000000"/>
          <w:lang w:val="en-ZA" w:eastAsia="en-ZA"/>
        </w:rPr>
        <w:t>. The</w:t>
      </w:r>
      <w:r w:rsidR="0064024C">
        <w:rPr>
          <w:rFonts w:ascii="Calibri" w:eastAsia="Times New Roman" w:hAnsi="Calibri" w:cs="Times New Roman"/>
          <w:color w:val="000000"/>
          <w:lang w:val="en-ZA" w:eastAsia="en-ZA"/>
        </w:rPr>
        <w:t xml:space="preserve"> two commercial vessels were employed during west coast summer surveys in 2013-2016 and south coast autumn surveys</w:t>
      </w:r>
      <w:r w:rsidR="00172671">
        <w:rPr>
          <w:rFonts w:ascii="Calibri" w:eastAsia="Times New Roman" w:hAnsi="Calibri" w:cs="Times New Roman"/>
          <w:color w:val="000000"/>
          <w:lang w:val="en-ZA" w:eastAsia="en-ZA"/>
        </w:rPr>
        <w:t xml:space="preserve"> 2014-2016 to compensate for non-availability of the RV</w:t>
      </w:r>
      <w:r w:rsidR="00C86A4C">
        <w:rPr>
          <w:rFonts w:ascii="Calibri" w:eastAsia="Times New Roman" w:hAnsi="Calibri" w:cs="Times New Roman"/>
          <w:color w:val="000000"/>
          <w:lang w:val="en-ZA" w:eastAsia="en-ZA"/>
        </w:rPr>
        <w:t xml:space="preserve"> Africana</w:t>
      </w:r>
      <w:r w:rsidR="00713199">
        <w:rPr>
          <w:rFonts w:ascii="Calibri" w:eastAsia="Times New Roman" w:hAnsi="Calibri" w:cs="Times New Roman"/>
          <w:color w:val="000000"/>
          <w:lang w:val="en-ZA" w:eastAsia="en-ZA"/>
        </w:rPr>
        <w:t>. Since then, one</w:t>
      </w:r>
      <w:r w:rsidR="00172671">
        <w:rPr>
          <w:rFonts w:ascii="Calibri" w:eastAsia="Times New Roman" w:hAnsi="Calibri" w:cs="Times New Roman"/>
          <w:color w:val="000000"/>
          <w:lang w:val="en-ZA" w:eastAsia="en-ZA"/>
        </w:rPr>
        <w:t xml:space="preserve"> south coast survey was conducted with the </w:t>
      </w:r>
      <w:r w:rsidR="00172671">
        <w:t>RV Africana in spring 2016 and</w:t>
      </w:r>
      <w:r w:rsidR="00713199">
        <w:t xml:space="preserve"> one</w:t>
      </w:r>
      <w:r w:rsidR="00172671">
        <w:t xml:space="preserve"> west coast survey in summer 2017. </w:t>
      </w:r>
      <w:r w:rsidR="00172671">
        <w:rPr>
          <w:rFonts w:ascii="Calibri" w:eastAsia="Times New Roman" w:hAnsi="Calibri" w:cs="Times New Roman"/>
          <w:color w:val="000000"/>
          <w:lang w:val="en-ZA" w:eastAsia="en-ZA"/>
        </w:rPr>
        <w:t xml:space="preserve">   </w:t>
      </w:r>
    </w:p>
    <w:p w14:paraId="6813CAF9" w14:textId="77777777" w:rsidR="00C670FE" w:rsidRDefault="00C670FE" w:rsidP="00921D89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val="en-ZA" w:eastAsia="en-ZA"/>
        </w:rPr>
      </w:pPr>
    </w:p>
    <w:p w14:paraId="5A5E9F67" w14:textId="77777777" w:rsidR="00C670FE" w:rsidRDefault="00C670FE" w:rsidP="00921D89">
      <w:pPr>
        <w:spacing w:after="0" w:line="360" w:lineRule="auto"/>
        <w:jc w:val="both"/>
        <w:rPr>
          <w:b/>
          <w:color w:val="292526"/>
        </w:rPr>
      </w:pPr>
      <w:r>
        <w:rPr>
          <w:b/>
          <w:color w:val="292526"/>
        </w:rPr>
        <w:t>Bayesian State-Space approach</w:t>
      </w:r>
    </w:p>
    <w:p w14:paraId="7B16104D" w14:textId="77777777" w:rsidR="00971A7F" w:rsidRDefault="00C86A4C" w:rsidP="00921D89">
      <w:pPr>
        <w:spacing w:after="0" w:line="360" w:lineRule="auto"/>
        <w:jc w:val="both"/>
        <w:rPr>
          <w:rFonts w:cs="Times New Roman"/>
          <w:color w:val="292526"/>
        </w:rPr>
      </w:pPr>
      <w:r>
        <w:rPr>
          <w:color w:val="292526"/>
        </w:rPr>
        <w:t xml:space="preserve">To infer changes in </w:t>
      </w:r>
      <w:r w:rsidRPr="004D29BE">
        <w:rPr>
          <w:color w:val="292526"/>
        </w:rPr>
        <w:t>trawl survey catchability</w:t>
      </w:r>
      <w:r>
        <w:rPr>
          <w:rFonts w:ascii="Calibri" w:eastAsia="Times New Roman" w:hAnsi="Calibri" w:cs="Times New Roman"/>
          <w:color w:val="000000"/>
          <w:lang w:val="en-ZA" w:eastAsia="en-ZA"/>
        </w:rPr>
        <w:t xml:space="preserve">, I applied </w:t>
      </w:r>
      <w:r>
        <w:t>a</w:t>
      </w:r>
      <w:r w:rsidR="007B6235">
        <w:t xml:space="preserve"> Bayesian</w:t>
      </w:r>
      <w:r>
        <w:t xml:space="preserve"> state-space</w:t>
      </w:r>
      <w:r>
        <w:rPr>
          <w:color w:val="292526"/>
        </w:rPr>
        <w:t xml:space="preserve"> approach</w:t>
      </w:r>
      <w:r w:rsidR="00713199">
        <w:rPr>
          <w:color w:val="292526"/>
        </w:rPr>
        <w:t xml:space="preserve"> for time series analysis. This approach builds</w:t>
      </w:r>
      <w:r>
        <w:rPr>
          <w:color w:val="292526"/>
        </w:rPr>
        <w:t xml:space="preserve"> on the</w:t>
      </w:r>
      <w:r w:rsidRPr="004911A9">
        <w:t xml:space="preserve"> state-space tool</w:t>
      </w:r>
      <w:r>
        <w:t xml:space="preserve"> </w:t>
      </w:r>
      <w:r w:rsidR="00F87618">
        <w:t>for averaging relative abundance indices</w:t>
      </w:r>
      <w:r w:rsidR="00C670FE">
        <w:t>,</w:t>
      </w:r>
      <w:r w:rsidR="00F87618">
        <w:t xml:space="preserve"> </w:t>
      </w:r>
      <w:r w:rsidR="00713199">
        <w:t xml:space="preserve">which is </w:t>
      </w:r>
      <w:r>
        <w:t>implemented in the Bayesian Surplus Production Model ‘JABBA’</w:t>
      </w:r>
      <w:r w:rsidR="00106EAD">
        <w:t xml:space="preserve"> software</w:t>
      </w:r>
      <w:r>
        <w:t xml:space="preserve"> (Winker et al. 2018).</w:t>
      </w:r>
      <w:r w:rsidR="00F87618">
        <w:t xml:space="preserve"> </w:t>
      </w:r>
      <w:r w:rsidR="00F87618" w:rsidRPr="00F87618">
        <w:rPr>
          <w:rFonts w:cs="Times New Roman"/>
          <w:color w:val="292526"/>
        </w:rPr>
        <w:t>A central assumption of the state-space</w:t>
      </w:r>
      <w:r w:rsidR="00921D89">
        <w:rPr>
          <w:rFonts w:cs="Times New Roman"/>
          <w:color w:val="292526"/>
        </w:rPr>
        <w:t xml:space="preserve"> model</w:t>
      </w:r>
      <w:r w:rsidR="00F87618" w:rsidRPr="00F87618">
        <w:rPr>
          <w:rFonts w:cs="Times New Roman"/>
          <w:color w:val="292526"/>
        </w:rPr>
        <w:t xml:space="preserve"> is that the abundance trend follows a Markovian process, which means </w:t>
      </w:r>
      <w:r w:rsidR="00F87618">
        <w:rPr>
          <w:rFonts w:cs="Times New Roman"/>
          <w:color w:val="292526"/>
        </w:rPr>
        <w:t>that, for example, the</w:t>
      </w:r>
      <w:r w:rsidR="00A24416">
        <w:rPr>
          <w:rFonts w:cs="Times New Roman"/>
          <w:color w:val="292526"/>
        </w:rPr>
        <w:t xml:space="preserve"> current</w:t>
      </w:r>
      <w:r w:rsidR="00F87618">
        <w:rPr>
          <w:rFonts w:cs="Times New Roman"/>
          <w:color w:val="292526"/>
        </w:rPr>
        <w:t xml:space="preserve"> biomass</w:t>
      </w:r>
      <w:r w:rsidR="00F87618" w:rsidRPr="00F87618">
        <w:rPr>
          <w:rFonts w:cs="Times New Roman"/>
          <w:color w:val="292526"/>
        </w:rPr>
        <w:t xml:space="preserve"> </w:t>
      </w:r>
      <w:proofErr w:type="spellStart"/>
      <w:r w:rsidR="00F87618">
        <w:rPr>
          <w:rFonts w:cs="Times New Roman"/>
          <w:i/>
          <w:color w:val="292526"/>
        </w:rPr>
        <w:t>B</w:t>
      </w:r>
      <w:r w:rsidR="002B00D7">
        <w:rPr>
          <w:rFonts w:cs="Times New Roman"/>
          <w:i/>
          <w:color w:val="292526"/>
          <w:vertAlign w:val="subscript"/>
        </w:rPr>
        <w:t>t</w:t>
      </w:r>
      <w:proofErr w:type="spellEnd"/>
      <w:r w:rsidR="00F87618" w:rsidRPr="00F87618">
        <w:rPr>
          <w:rFonts w:cs="Times New Roman"/>
          <w:color w:val="292526"/>
        </w:rPr>
        <w:t xml:space="preserve"> </w:t>
      </w:r>
      <w:r w:rsidR="00A24416">
        <w:rPr>
          <w:rFonts w:cs="Times New Roman"/>
          <w:color w:val="292526"/>
        </w:rPr>
        <w:t>at time</w:t>
      </w:r>
      <w:r w:rsidR="002B00D7">
        <w:rPr>
          <w:rFonts w:cs="Times New Roman"/>
          <w:color w:val="292526"/>
        </w:rPr>
        <w:t xml:space="preserve"> </w:t>
      </w:r>
      <w:r w:rsidR="002B00D7">
        <w:rPr>
          <w:rFonts w:cs="Times New Roman"/>
          <w:i/>
          <w:color w:val="292526"/>
        </w:rPr>
        <w:t>t</w:t>
      </w:r>
      <w:r w:rsidR="00106EAD">
        <w:rPr>
          <w:rFonts w:cs="Times New Roman"/>
          <w:color w:val="292526"/>
        </w:rPr>
        <w:t xml:space="preserve"> is a function of</w:t>
      </w:r>
      <w:r w:rsidR="00A24416">
        <w:rPr>
          <w:rFonts w:cs="Times New Roman"/>
          <w:color w:val="292526"/>
        </w:rPr>
        <w:t xml:space="preserve"> the biomass at the previous time step</w:t>
      </w:r>
      <w:r w:rsidR="00F87618" w:rsidRPr="00F87618">
        <w:rPr>
          <w:rFonts w:cs="Times New Roman"/>
          <w:color w:val="292526"/>
        </w:rPr>
        <w:t xml:space="preserve"> </w:t>
      </w:r>
      <w:r w:rsidR="00F87618">
        <w:rPr>
          <w:rFonts w:cs="Times New Roman"/>
          <w:i/>
          <w:color w:val="292526"/>
        </w:rPr>
        <w:t>B</w:t>
      </w:r>
      <w:r w:rsidR="00F87618" w:rsidRPr="00F87618">
        <w:rPr>
          <w:rFonts w:cs="Times New Roman"/>
          <w:i/>
          <w:color w:val="292526"/>
          <w:vertAlign w:val="subscript"/>
        </w:rPr>
        <w:t>t</w:t>
      </w:r>
      <w:r w:rsidR="00A24416">
        <w:rPr>
          <w:rFonts w:cs="Times New Roman"/>
          <w:i/>
          <w:color w:val="292526"/>
          <w:vertAlign w:val="subscript"/>
        </w:rPr>
        <w:t>-1</w:t>
      </w:r>
      <w:r w:rsidR="00F87618" w:rsidRPr="00F87618">
        <w:rPr>
          <w:rFonts w:cs="Times New Roman"/>
          <w:color w:val="292526"/>
        </w:rPr>
        <w:t>.</w:t>
      </w:r>
      <w:r w:rsidR="006A2CCD">
        <w:rPr>
          <w:rFonts w:cs="Times New Roman"/>
          <w:color w:val="292526"/>
        </w:rPr>
        <w:t xml:space="preserve"> </w:t>
      </w:r>
      <w:r w:rsidR="00F87618" w:rsidRPr="00F87618">
        <w:rPr>
          <w:rFonts w:cs="Times New Roman"/>
          <w:color w:val="292526"/>
        </w:rPr>
        <w:t>State‐space models are hierarchical models that explicitly decompose an observed time‐</w:t>
      </w:r>
      <w:r w:rsidR="0054710B">
        <w:rPr>
          <w:rFonts w:cs="Times New Roman"/>
          <w:color w:val="292526"/>
        </w:rPr>
        <w:t>series</w:t>
      </w:r>
      <w:r w:rsidR="00F87618" w:rsidRPr="00F87618">
        <w:rPr>
          <w:rFonts w:cs="Times New Roman"/>
          <w:color w:val="292526"/>
        </w:rPr>
        <w:t xml:space="preserve"> into a process variation an</w:t>
      </w:r>
      <w:r w:rsidR="00713199">
        <w:rPr>
          <w:rFonts w:cs="Times New Roman"/>
          <w:color w:val="292526"/>
        </w:rPr>
        <w:t>d an observation variation</w:t>
      </w:r>
      <w:r w:rsidR="00971A7F">
        <w:rPr>
          <w:rFonts w:cs="Times New Roman"/>
          <w:color w:val="292526"/>
        </w:rPr>
        <w:t xml:space="preserve">, where </w:t>
      </w:r>
      <w:r w:rsidR="00971A7F">
        <w:t>t</w:t>
      </w:r>
      <w:r w:rsidR="00F87618">
        <w:t>he biomass</w:t>
      </w:r>
      <w:r w:rsidR="00F87618" w:rsidRPr="004911A9">
        <w:t xml:space="preserve"> is</w:t>
      </w:r>
      <w:r w:rsidR="0054710B">
        <w:t xml:space="preserve"> conceptually</w:t>
      </w:r>
      <w:r w:rsidR="00F87618" w:rsidRPr="004911A9">
        <w:t xml:space="preserve"> treated as an unobservable state variable</w:t>
      </w:r>
      <w:r w:rsidR="00971A7F">
        <w:t>.</w:t>
      </w:r>
      <w:r w:rsidR="00971A7F">
        <w:rPr>
          <w:rFonts w:cs="Times New Roman"/>
          <w:color w:val="292526"/>
        </w:rPr>
        <w:t xml:space="preserve"> The process equation is formulated </w:t>
      </w:r>
      <w:r w:rsidR="0054710B">
        <w:rPr>
          <w:rFonts w:cs="Times New Roman"/>
          <w:color w:val="292526"/>
        </w:rPr>
        <w:t xml:space="preserve">here </w:t>
      </w:r>
      <w:r w:rsidR="00971A7F">
        <w:rPr>
          <w:rFonts w:cs="Times New Roman"/>
          <w:color w:val="292526"/>
        </w:rPr>
        <w:t>a</w:t>
      </w:r>
      <w:r w:rsidR="0054710B">
        <w:rPr>
          <w:rFonts w:cs="Times New Roman"/>
          <w:color w:val="292526"/>
        </w:rPr>
        <w:t>s a simple</w:t>
      </w:r>
      <w:r w:rsidR="00971A7F">
        <w:rPr>
          <w:rFonts w:cs="Times New Roman"/>
          <w:color w:val="292526"/>
        </w:rPr>
        <w:t xml:space="preserve"> log-linear population growth model of the form:</w:t>
      </w:r>
    </w:p>
    <w:p w14:paraId="187C4AAB" w14:textId="77777777" w:rsidR="00C670FE" w:rsidRPr="003821A4" w:rsidRDefault="00C670FE" w:rsidP="00921D89">
      <w:pPr>
        <w:spacing w:after="0" w:line="360" w:lineRule="auto"/>
        <w:rPr>
          <w:b/>
          <w:color w:val="292526"/>
        </w:rPr>
      </w:pPr>
    </w:p>
    <w:p w14:paraId="73493CCA" w14:textId="77777777" w:rsidR="00971A7F" w:rsidRDefault="00F456A6" w:rsidP="00921D89">
      <w:pPr>
        <w:spacing w:after="0" w:line="360" w:lineRule="auto"/>
        <w:rPr>
          <w:rFonts w:eastAsiaTheme="minorEastAsia" w:cs="Times New Roman"/>
          <w:color w:val="292526"/>
        </w:rPr>
      </w:pPr>
      <m:oMath>
        <m:func>
          <m:funcPr>
            <m:ctrlPr>
              <w:rPr>
                <w:rFonts w:ascii="Cambria Math" w:hAnsi="Cambria Math" w:cs="Times New Roman"/>
                <w:color w:val="2925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292526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color w:val="292526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2925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292526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292526"/>
                      </w:rPr>
                      <m:t>y+1</m:t>
                    </m:r>
                  </m:sub>
                </m:sSub>
              </m:e>
            </m:d>
          </m:e>
        </m:func>
        <m:r>
          <w:rPr>
            <w:rFonts w:ascii="Cambria Math" w:hAnsi="Cambria Math" w:cs="Times New Roman"/>
            <w:color w:val="292526"/>
          </w:rPr>
          <m:t>=</m:t>
        </m:r>
        <m:func>
          <m:funcPr>
            <m:ctrlPr>
              <w:rPr>
                <w:rFonts w:ascii="Cambria Math" w:hAnsi="Cambria Math" w:cs="Times New Roman"/>
                <w:color w:val="2925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292526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color w:val="292526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2925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292526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292526"/>
                      </w:rPr>
                      <m:t>y</m:t>
                    </m:r>
                  </m:sub>
                </m:sSub>
              </m:e>
            </m:d>
          </m:e>
        </m:func>
        <m:r>
          <w:rPr>
            <w:rFonts w:ascii="Cambria Math" w:hAnsi="Cambria Math" w:cs="Times New Roman"/>
            <w:color w:val="292526"/>
          </w:rPr>
          <m:t>+ρ+</m:t>
        </m:r>
        <m:sSub>
          <m:sSubPr>
            <m:ctrlPr>
              <w:rPr>
                <w:rFonts w:ascii="Cambria Math" w:hAnsi="Cambria Math" w:cs="Times New Roman"/>
                <w:i/>
                <w:color w:val="292526"/>
              </w:rPr>
            </m:ctrlPr>
          </m:sSubPr>
          <m:e>
            <m:r>
              <w:rPr>
                <w:rFonts w:ascii="Cambria Math" w:hAnsi="Cambria Math" w:cs="Times New Roman"/>
                <w:color w:val="292526"/>
              </w:rPr>
              <m:t>η</m:t>
            </m:r>
          </m:e>
          <m:sub>
            <m:r>
              <w:rPr>
                <w:rFonts w:ascii="Cambria Math" w:hAnsi="Cambria Math" w:cs="Times New Roman"/>
                <w:color w:val="292526"/>
              </w:rPr>
              <m:t>y</m:t>
            </m:r>
          </m:sub>
        </m:sSub>
      </m:oMath>
      <w:r w:rsidR="00971A7F">
        <w:rPr>
          <w:rFonts w:eastAsiaTheme="minorEastAsia" w:cs="Times New Roman"/>
          <w:color w:val="292526"/>
        </w:rPr>
        <w:tab/>
      </w:r>
      <w:r w:rsidR="00971A7F">
        <w:rPr>
          <w:rFonts w:eastAsiaTheme="minorEastAsia" w:cs="Times New Roman"/>
          <w:color w:val="292526"/>
        </w:rPr>
        <w:tab/>
      </w:r>
      <w:r w:rsidR="00971A7F">
        <w:rPr>
          <w:rFonts w:cs="Times New Roman"/>
          <w:color w:val="2925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292526"/>
              </w:rPr>
            </m:ctrlPr>
          </m:sSubPr>
          <m:e>
            <m:r>
              <w:rPr>
                <w:rFonts w:ascii="Cambria Math" w:hAnsi="Cambria Math" w:cs="Times New Roman"/>
                <w:color w:val="292526"/>
              </w:rPr>
              <m:t>η</m:t>
            </m:r>
          </m:e>
          <m:sub>
            <m:r>
              <w:rPr>
                <w:rFonts w:ascii="Cambria Math" w:hAnsi="Cambria Math" w:cs="Times New Roman"/>
                <w:color w:val="292526"/>
              </w:rPr>
              <m:t>y</m:t>
            </m:r>
          </m:sub>
        </m:sSub>
        <m:r>
          <w:rPr>
            <w:rFonts w:ascii="Cambria Math" w:hAnsi="Cambria Math" w:cs="Times New Roman"/>
            <w:color w:val="292526"/>
          </w:rPr>
          <m:t>~N(0,</m:t>
        </m:r>
        <m:sSubSup>
          <m:sSubSupPr>
            <m:ctrlPr>
              <w:rPr>
                <w:rFonts w:ascii="Cambria Math" w:hAnsi="Cambria Math" w:cs="Times New Roman"/>
                <w:i/>
                <w:color w:val="292526"/>
              </w:rPr>
            </m:ctrlPr>
          </m:sSubSupPr>
          <m:e>
            <m:r>
              <w:rPr>
                <w:rFonts w:ascii="Cambria Math" w:hAnsi="Cambria Math" w:cs="Times New Roman"/>
                <w:color w:val="292526"/>
              </w:rPr>
              <m:t>σ</m:t>
            </m:r>
          </m:e>
          <m:sub>
            <m:r>
              <w:rPr>
                <w:rFonts w:ascii="Cambria Math" w:hAnsi="Cambria Math" w:cs="Times New Roman"/>
                <w:color w:val="292526"/>
              </w:rPr>
              <m:t>proc</m:t>
            </m:r>
          </m:sub>
          <m:sup>
            <m:r>
              <w:rPr>
                <w:rFonts w:ascii="Cambria Math" w:hAnsi="Cambria Math" w:cs="Times New Roman"/>
                <w:color w:val="292526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292526"/>
          </w:rPr>
          <m:t>)</m:t>
        </m:r>
      </m:oMath>
      <w:r w:rsidR="00971A7F">
        <w:rPr>
          <w:rFonts w:eastAsiaTheme="minorEastAsia" w:cs="Times New Roman"/>
          <w:color w:val="292526"/>
        </w:rPr>
        <w:t>,</w:t>
      </w:r>
    </w:p>
    <w:p w14:paraId="5BADF3D6" w14:textId="77777777" w:rsidR="00C670FE" w:rsidRDefault="00C670FE" w:rsidP="00921D89">
      <w:pPr>
        <w:spacing w:after="0" w:line="360" w:lineRule="auto"/>
        <w:rPr>
          <w:rFonts w:eastAsiaTheme="minorEastAsia" w:cs="Times New Roman"/>
          <w:color w:val="292526"/>
        </w:rPr>
      </w:pPr>
    </w:p>
    <w:p w14:paraId="3B704CA8" w14:textId="77777777" w:rsidR="002B00D7" w:rsidRDefault="0054710B" w:rsidP="00921D89">
      <w:pPr>
        <w:spacing w:after="0" w:line="360" w:lineRule="auto"/>
      </w:pPr>
      <w:r>
        <w:rPr>
          <w:rFonts w:eastAsiaTheme="minorEastAsia" w:cs="Times New Roman"/>
          <w:color w:val="292526"/>
        </w:rPr>
        <w:t xml:space="preserve">where </w:t>
      </w:r>
      <m:oMath>
        <m:r>
          <w:rPr>
            <w:rFonts w:ascii="Cambria Math" w:hAnsi="Cambria Math" w:cs="Times New Roman"/>
            <w:color w:val="292526"/>
          </w:rPr>
          <m:t>ρ</m:t>
        </m:r>
      </m:oMath>
      <w:r>
        <w:rPr>
          <w:rFonts w:eastAsiaTheme="minorEastAsia" w:cs="Times New Roman"/>
          <w:color w:val="292526"/>
        </w:rPr>
        <w:t xml:space="preserve"> is</w:t>
      </w:r>
      <w:r w:rsidR="00106EAD">
        <w:rPr>
          <w:rFonts w:eastAsiaTheme="minorEastAsia" w:cs="Times New Roman"/>
          <w:color w:val="292526"/>
        </w:rPr>
        <w:t xml:space="preserve"> some</w:t>
      </w:r>
      <w:r w:rsidR="00971A7F">
        <w:rPr>
          <w:rFonts w:eastAsiaTheme="minorEastAsia" w:cs="Times New Roman"/>
          <w:color w:val="292526"/>
        </w:rPr>
        <w:t xml:space="preserve"> underlying population trend</w:t>
      </w:r>
      <w:r>
        <w:rPr>
          <w:rFonts w:eastAsiaTheme="minorEastAsia" w:cs="Times New Roman"/>
          <w:color w:val="292526"/>
        </w:rPr>
        <w:t xml:space="preserve"> and  </w:t>
      </w:r>
      <m:oMath>
        <m:sSub>
          <m:sSubPr>
            <m:ctrlPr>
              <w:rPr>
                <w:rFonts w:ascii="Cambria Math" w:hAnsi="Cambria Math" w:cs="Times New Roman"/>
                <w:i/>
                <w:color w:val="292526"/>
              </w:rPr>
            </m:ctrlPr>
          </m:sSubPr>
          <m:e>
            <m:r>
              <w:rPr>
                <w:rFonts w:ascii="Cambria Math" w:hAnsi="Cambria Math" w:cs="Times New Roman"/>
                <w:color w:val="292526"/>
              </w:rPr>
              <m:t>η</m:t>
            </m:r>
          </m:e>
          <m:sub>
            <m:r>
              <w:rPr>
                <w:rFonts w:ascii="Cambria Math" w:hAnsi="Cambria Math" w:cs="Times New Roman"/>
                <w:color w:val="292526"/>
              </w:rPr>
              <m:t>y</m:t>
            </m:r>
          </m:sub>
        </m:sSub>
      </m:oMath>
      <w:r w:rsidR="00971A7F">
        <w:rPr>
          <w:rFonts w:eastAsiaTheme="minorEastAsia" w:cs="Times New Roman"/>
          <w:color w:val="292526"/>
        </w:rPr>
        <w:t xml:space="preserve"> </w:t>
      </w:r>
      <w:r>
        <w:rPr>
          <w:rFonts w:eastAsiaTheme="minorEastAsia" w:cs="Times New Roman"/>
          <w:color w:val="292526"/>
        </w:rPr>
        <w:t>is the</w:t>
      </w:r>
      <w:r w:rsidR="002B00D7">
        <w:rPr>
          <w:rFonts w:eastAsiaTheme="minorEastAsia" w:cs="Times New Roman"/>
          <w:color w:val="292526"/>
        </w:rPr>
        <w:t xml:space="preserve"> lognormal</w:t>
      </w:r>
      <w:r>
        <w:rPr>
          <w:rFonts w:eastAsiaTheme="minorEastAsia" w:cs="Times New Roman"/>
          <w:color w:val="292526"/>
        </w:rPr>
        <w:t xml:space="preserve"> process term that described  the</w:t>
      </w:r>
      <w:r w:rsidR="002B00D7">
        <w:rPr>
          <w:rFonts w:eastAsiaTheme="minorEastAsia" w:cs="Times New Roman"/>
          <w:color w:val="292526"/>
        </w:rPr>
        <w:t xml:space="preserve"> year-to-year variation </w:t>
      </w:r>
      <w:r>
        <w:rPr>
          <w:rFonts w:eastAsiaTheme="minorEastAsia" w:cs="Times New Roman"/>
          <w:color w:val="292526"/>
        </w:rPr>
        <w:t xml:space="preserve"> </w:t>
      </w:r>
      <w:r w:rsidR="002B00D7">
        <w:rPr>
          <w:rFonts w:eastAsiaTheme="minorEastAsia" w:cs="Times New Roman"/>
          <w:color w:val="292526"/>
        </w:rPr>
        <w:t>in biomass as deviation from</w:t>
      </w:r>
      <w:r w:rsidR="00713199">
        <w:rPr>
          <w:rFonts w:eastAsiaTheme="minorEastAsia" w:cs="Times New Roman"/>
          <w:color w:val="292526"/>
        </w:rPr>
        <w:t xml:space="preserve"> the deterministic expectation of</w:t>
      </w:r>
      <w:r w:rsidR="002B00D7">
        <w:rPr>
          <w:rFonts w:eastAsiaTheme="minorEastAsia" w:cs="Times New Roman"/>
          <w:color w:val="292526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color w:val="2925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292526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color w:val="292526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2925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292526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292526"/>
                      </w:rPr>
                      <m:t>y</m:t>
                    </m:r>
                  </m:sub>
                </m:sSub>
              </m:e>
            </m:d>
          </m:e>
        </m:func>
        <m:r>
          <w:rPr>
            <w:rFonts w:ascii="Cambria Math" w:hAnsi="Cambria Math" w:cs="Times New Roman"/>
            <w:color w:val="292526"/>
          </w:rPr>
          <m:t>+ρ</m:t>
        </m:r>
      </m:oMath>
      <w:r w:rsidR="002B00D7">
        <w:rPr>
          <w:rFonts w:eastAsiaTheme="minorEastAsia" w:cs="Times New Roman"/>
          <w:color w:val="292526"/>
        </w:rPr>
        <w:t xml:space="preserve">, given a process variance </w:t>
      </w:r>
      <m:oMath>
        <m:sSubSup>
          <m:sSubSupPr>
            <m:ctrlPr>
              <w:rPr>
                <w:rFonts w:ascii="Cambria Math" w:hAnsi="Cambria Math" w:cs="Times New Roman"/>
                <w:i/>
                <w:color w:val="292526"/>
              </w:rPr>
            </m:ctrlPr>
          </m:sSubSupPr>
          <m:e>
            <m:r>
              <w:rPr>
                <w:rFonts w:ascii="Cambria Math" w:hAnsi="Cambria Math" w:cs="Times New Roman"/>
                <w:color w:val="292526"/>
              </w:rPr>
              <m:t>σ</m:t>
            </m:r>
          </m:e>
          <m:sub>
            <m:r>
              <w:rPr>
                <w:rFonts w:ascii="Cambria Math" w:hAnsi="Cambria Math" w:cs="Times New Roman"/>
                <w:color w:val="292526"/>
              </w:rPr>
              <m:t>proc</m:t>
            </m:r>
          </m:sub>
          <m:sup>
            <m:r>
              <w:rPr>
                <w:rFonts w:ascii="Cambria Math" w:hAnsi="Cambria Math" w:cs="Times New Roman"/>
                <w:color w:val="292526"/>
              </w:rPr>
              <m:t>2</m:t>
            </m:r>
          </m:sup>
        </m:sSubSup>
      </m:oMath>
      <w:r w:rsidR="002B00D7">
        <w:rPr>
          <w:rFonts w:eastAsiaTheme="minorEastAsia" w:cs="Times New Roman"/>
          <w:color w:val="292526"/>
        </w:rPr>
        <w:t>. T</w:t>
      </w:r>
      <w:r w:rsidR="00C86A4C" w:rsidRPr="004911A9">
        <w:t>he corresponding observation equation</w:t>
      </w:r>
      <w:r w:rsidR="002B00D7">
        <w:t>, in log-space,</w:t>
      </w:r>
      <w:r w:rsidR="00C86A4C" w:rsidRPr="004911A9">
        <w:t xml:space="preserve"> is</w:t>
      </w:r>
      <w:r w:rsidR="002B00D7">
        <w:t xml:space="preserve"> then given by</w:t>
      </w:r>
      <w:r w:rsidR="00C86A4C" w:rsidRPr="004911A9">
        <w:t>:</w:t>
      </w:r>
    </w:p>
    <w:p w14:paraId="5E39A2CB" w14:textId="77777777" w:rsidR="00C670FE" w:rsidRDefault="00C670FE" w:rsidP="00921D89">
      <w:pPr>
        <w:spacing w:after="0" w:line="360" w:lineRule="auto"/>
      </w:pPr>
    </w:p>
    <w:p w14:paraId="642736D0" w14:textId="77777777" w:rsidR="002B00D7" w:rsidRPr="002B00D7" w:rsidRDefault="00F456A6" w:rsidP="00921D89">
      <w:pPr>
        <w:spacing w:after="0" w:line="360" w:lineRule="auto"/>
      </w:pPr>
      <m:oMath>
        <m:func>
          <m:funcPr>
            <m:ctrlPr>
              <w:rPr>
                <w:rFonts w:ascii="Cambria Math" w:eastAsiaTheme="minorEastAsia" w:hAnsi="Cambria Math" w:cs="Times New Roman"/>
                <w:color w:val="2925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292526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29252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2925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292526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292526"/>
                      </w:rPr>
                      <m:t>i,y</m:t>
                    </m:r>
                  </m:sub>
                </m:sSub>
              </m:e>
            </m:d>
          </m:e>
        </m:func>
        <m:r>
          <w:rPr>
            <w:rFonts w:ascii="Cambria Math" w:eastAsiaTheme="minorEastAsia" w:hAnsi="Cambria Math" w:cs="Times New Roman"/>
            <w:color w:val="292526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color w:val="292526"/>
          </w:rPr>
          <m:t>log⁡</m:t>
        </m:r>
        <m:r>
          <w:rPr>
            <w:rFonts w:ascii="Cambria Math" w:eastAsiaTheme="minorEastAsia" w:hAnsi="Cambria Math" w:cs="Times New Roman"/>
            <w:color w:val="292526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292526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color w:val="292526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292526"/>
          </w:rPr>
          <m:t>)+</m:t>
        </m:r>
        <m:func>
          <m:funcPr>
            <m:ctrlPr>
              <w:rPr>
                <w:rFonts w:ascii="Cambria Math" w:eastAsiaTheme="minorEastAsia" w:hAnsi="Cambria Math" w:cs="Times New Roman"/>
                <w:color w:val="29252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292526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29252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2925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292526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292526"/>
                      </w:rPr>
                      <m:t>y</m:t>
                    </m:r>
                  </m:sub>
                </m:sSub>
              </m:e>
            </m:d>
          </m:e>
        </m:func>
        <m:r>
          <w:rPr>
            <w:rFonts w:ascii="Cambria Math" w:eastAsiaTheme="minorEastAsia" w:hAnsi="Cambria Math" w:cs="Times New Roman"/>
            <w:color w:val="292526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292526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color w:val="292526"/>
              </w:rPr>
              <m:t>i,y</m:t>
            </m:r>
          </m:sub>
        </m:sSub>
      </m:oMath>
      <w:r w:rsidR="002B00D7">
        <w:rPr>
          <w:rFonts w:eastAsiaTheme="minorEastAsia"/>
          <w:color w:val="292526"/>
        </w:rPr>
        <w:tab/>
      </w:r>
      <w:r w:rsidR="002B00D7">
        <w:rPr>
          <w:rFonts w:eastAsiaTheme="minorEastAsia"/>
          <w:color w:val="292526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292526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color w:val="292526"/>
              </w:rPr>
              <m:t>i,y</m:t>
            </m:r>
          </m:sub>
        </m:sSub>
        <m:r>
          <w:rPr>
            <w:rFonts w:ascii="Cambria Math" w:eastAsiaTheme="minorEastAsia" w:hAnsi="Cambria Math" w:cs="Times New Roman"/>
            <w:color w:val="292526"/>
          </w:rPr>
          <m:t>~N(0,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292526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2925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292526"/>
                  </w:rPr>
                  <m:t>obs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292526"/>
                  </w:rPr>
                  <m:t>i,y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color w:val="292526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292526"/>
          </w:rPr>
          <m:t>)</m:t>
        </m:r>
      </m:oMath>
    </w:p>
    <w:p w14:paraId="4F6EA713" w14:textId="77777777" w:rsidR="00C670FE" w:rsidRDefault="00C670FE" w:rsidP="00921D89">
      <w:pPr>
        <w:spacing w:after="0" w:line="360" w:lineRule="auto"/>
      </w:pPr>
    </w:p>
    <w:p w14:paraId="630C51C0" w14:textId="77777777" w:rsidR="00C670FE" w:rsidRDefault="00C86A4C" w:rsidP="00921D89">
      <w:pPr>
        <w:spacing w:after="0" w:line="360" w:lineRule="auto"/>
      </w:pPr>
      <w:r w:rsidRPr="004911A9">
        <w:lastRenderedPageBreak/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292526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color w:val="292526"/>
              </w:rPr>
              <m:t>i,y</m:t>
            </m:r>
          </m:sub>
        </m:sSub>
      </m:oMath>
      <w:r w:rsidR="002B00D7">
        <w:t xml:space="preserve"> is the biomass index </w:t>
      </w:r>
      <w:r w:rsidR="002B00D7">
        <w:rPr>
          <w:i/>
        </w:rPr>
        <w:t xml:space="preserve">i </w:t>
      </w:r>
      <w:r w:rsidR="002B00D7">
        <w:t xml:space="preserve">for year </w:t>
      </w:r>
      <w:r w:rsidR="002B00D7">
        <w:rPr>
          <w:i/>
        </w:rPr>
        <w:t>y</w:t>
      </w:r>
      <w:r w:rsidR="002B00D7"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292526"/>
              </w:rPr>
              <m:t xml:space="preserve"> ε</m:t>
            </m:r>
          </m:e>
          <m:sub>
            <m:r>
              <w:rPr>
                <w:rFonts w:ascii="Cambria Math" w:eastAsiaTheme="minorEastAsia" w:hAnsi="Cambria Math" w:cs="Times New Roman"/>
                <w:color w:val="292526"/>
              </w:rPr>
              <m:t>i,y</m:t>
            </m:r>
          </m:sub>
        </m:sSub>
      </m:oMath>
      <w:r w:rsidR="002B00D7">
        <w:t xml:space="preserve"> </w:t>
      </w:r>
      <w:r w:rsidR="002B00D7" w:rsidRPr="004911A9">
        <w:t xml:space="preserve">is the lognormal </w:t>
      </w:r>
      <w:r w:rsidR="002B00D7" w:rsidRPr="008C3CF9">
        <w:t xml:space="preserve">observation error term,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292526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2925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292526"/>
                  </w:rPr>
                  <m:t>obs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292526"/>
                  </w:rPr>
                  <m:t>i,y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color w:val="292526"/>
              </w:rPr>
              <m:t>2</m:t>
            </m:r>
          </m:sup>
        </m:sSubSup>
      </m:oMath>
      <w:r w:rsidR="00921D89">
        <w:rPr>
          <w:rFonts w:eastAsiaTheme="minorEastAsia"/>
          <w:color w:val="292526"/>
        </w:rPr>
        <w:t xml:space="preserve"> </w:t>
      </w:r>
      <w:r w:rsidR="002B00D7" w:rsidRPr="008C3CF9">
        <w:t xml:space="preserve">is the total observation error variance for year </w:t>
      </w:r>
      <w:r w:rsidR="002B00D7" w:rsidRPr="008C3CF9">
        <w:rPr>
          <w:i/>
        </w:rPr>
        <w:t xml:space="preserve">y </w:t>
      </w:r>
      <w:r w:rsidR="002B00D7" w:rsidRPr="008C3CF9">
        <w:t xml:space="preserve">and index </w:t>
      </w:r>
      <w:proofErr w:type="spellStart"/>
      <w:r w:rsidR="002B00D7" w:rsidRPr="008C3CF9">
        <w:rPr>
          <w:i/>
        </w:rPr>
        <w:t>i</w:t>
      </w:r>
      <w:proofErr w:type="spellEnd"/>
      <w:r w:rsidR="002B00D7" w:rsidRPr="008C3CF9">
        <w:t xml:space="preserve">  and</w:t>
      </w:r>
      <w:r w:rsidR="002B00D7" w:rsidRPr="008C3CF9">
        <w:rPr>
          <w:i/>
        </w:rPr>
        <w:t xml:space="preserve"> </w:t>
      </w:r>
      <w:r w:rsidR="002B00D7" w:rsidRPr="008C3CF9">
        <w:rPr>
          <w:position w:val="-10"/>
        </w:rPr>
        <w:object w:dxaOrig="240" w:dyaOrig="320" w14:anchorId="73787E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6.5pt" o:ole="">
            <v:imagedata r:id="rId8" o:title=""/>
          </v:shape>
          <o:OLEObject Type="Embed" ProgID="Equation.3" ShapeID="_x0000_i1025" DrawAspect="Content" ObjectID="_1603793933" r:id="rId9"/>
        </w:object>
      </w:r>
      <w:r w:rsidR="002B00D7" w:rsidRPr="008C3CF9">
        <w:rPr>
          <w:i/>
        </w:rPr>
        <w:t xml:space="preserve"> </w:t>
      </w:r>
      <w:r w:rsidR="002B00D7" w:rsidRPr="008C3CF9">
        <w:t xml:space="preserve">is the catchability scaling parameter for index </w:t>
      </w:r>
      <w:r w:rsidR="002B00D7" w:rsidRPr="008C3CF9">
        <w:rPr>
          <w:i/>
        </w:rPr>
        <w:t xml:space="preserve">i. </w:t>
      </w:r>
      <w:r w:rsidR="002B00D7">
        <w:t xml:space="preserve"> </w:t>
      </w:r>
      <w:r w:rsidRPr="008C3CF9">
        <w:t>The abundance index with the oldest record</w:t>
      </w:r>
      <w:r w:rsidRPr="00CE51A2">
        <w:t xml:space="preserve"> (in order of occurrence) is taken as </w:t>
      </w:r>
      <w:r>
        <w:t xml:space="preserve">a </w:t>
      </w:r>
      <w:r w:rsidRPr="00CE51A2">
        <w:t xml:space="preserve">reference index by fixing </w:t>
      </w:r>
      <w:r w:rsidR="007B6235">
        <w:rPr>
          <w:i/>
        </w:rPr>
        <w:t>q</w:t>
      </w:r>
      <w:r w:rsidR="007B6235">
        <w:rPr>
          <w:i/>
          <w:vertAlign w:val="subscript"/>
        </w:rPr>
        <w:t>1</w:t>
      </w:r>
      <w:r w:rsidRPr="00CE51A2">
        <w:rPr>
          <w:i/>
        </w:rPr>
        <w:t xml:space="preserve"> </w:t>
      </w:r>
      <w:r w:rsidRPr="00CE51A2">
        <w:t>= 1</w:t>
      </w:r>
      <w:r>
        <w:t xml:space="preserve"> and the others </w:t>
      </w:r>
      <w:r w:rsidR="00140843">
        <w:rPr>
          <w:i/>
        </w:rPr>
        <w:t>q</w:t>
      </w:r>
      <w:r w:rsidR="00140843">
        <w:rPr>
          <w:i/>
          <w:vertAlign w:val="subscript"/>
        </w:rPr>
        <w:t>2…n</w:t>
      </w:r>
      <w:r w:rsidR="00140843">
        <w:t xml:space="preserve"> are </w:t>
      </w:r>
      <w:r>
        <w:t>scaled to this reference index, respectively</w:t>
      </w:r>
      <w:r w:rsidRPr="00CE51A2">
        <w:t xml:space="preserve">. </w:t>
      </w:r>
      <w:r w:rsidR="00140843">
        <w:t xml:space="preserve">The total observation variance is separated into two components: (1) the externally derived standard error estimates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color w:val="292526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292526"/>
                  </w:rPr>
                  <m:t>σ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2925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292526"/>
                  </w:rPr>
                  <m:t>SE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292526"/>
                  </w:rPr>
                  <m:t>i,y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color w:val="292526"/>
              </w:rPr>
              <m:t>2</m:t>
            </m:r>
          </m:sup>
        </m:sSubSup>
      </m:oMath>
      <w:r w:rsidR="00140843">
        <w:rPr>
          <w:rFonts w:eastAsiaTheme="minorEastAsia"/>
          <w:color w:val="292526"/>
        </w:rPr>
        <w:t xml:space="preserve"> for index </w:t>
      </w:r>
      <w:r w:rsidR="00140843">
        <w:rPr>
          <w:rFonts w:eastAsiaTheme="minorEastAsia"/>
          <w:i/>
          <w:color w:val="292526"/>
        </w:rPr>
        <w:t xml:space="preserve">i </w:t>
      </w:r>
      <w:r w:rsidR="00140843">
        <w:rPr>
          <w:rFonts w:eastAsiaTheme="minorEastAsia"/>
          <w:color w:val="292526"/>
        </w:rPr>
        <w:t xml:space="preserve">and year </w:t>
      </w:r>
      <w:r w:rsidR="00140843">
        <w:rPr>
          <w:rFonts w:eastAsiaTheme="minorEastAsia"/>
          <w:i/>
          <w:color w:val="292526"/>
        </w:rPr>
        <w:t xml:space="preserve">y </w:t>
      </w:r>
      <w:r w:rsidR="00140843">
        <w:rPr>
          <w:rFonts w:eastAsiaTheme="minorEastAsia"/>
          <w:color w:val="292526"/>
        </w:rPr>
        <w:t>and (2)</w:t>
      </w:r>
      <w:r w:rsidR="00140843">
        <w:t xml:space="preserve"> an additional estimable observation variance</w:t>
      </w:r>
      <w:r w:rsidR="003821A4"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29252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292526"/>
              </w:rPr>
              <m:t>est</m:t>
            </m:r>
          </m:sub>
          <m:sup>
            <m:r>
              <w:rPr>
                <w:rFonts w:ascii="Cambria Math" w:eastAsiaTheme="minorEastAsia" w:hAnsi="Cambria Math" w:cs="Times New Roman"/>
                <w:color w:val="292526"/>
              </w:rPr>
              <m:t>2</m:t>
            </m:r>
          </m:sup>
        </m:sSubSup>
      </m:oMath>
      <w:r w:rsidR="003821A4">
        <w:rPr>
          <w:rFonts w:eastAsiaTheme="minorEastAsia"/>
          <w:color w:val="292526"/>
        </w:rPr>
        <w:t xml:space="preserve">, which is assumed here to be common to all indices. </w:t>
      </w:r>
      <w:r w:rsidR="003821A4">
        <w:t>The two variance components are additive (Francis et al. 2003), so that:</w:t>
      </w:r>
    </w:p>
    <w:p w14:paraId="6AA92863" w14:textId="77777777" w:rsidR="00936526" w:rsidRDefault="00936526" w:rsidP="00921D89">
      <w:pPr>
        <w:spacing w:after="0" w:line="360" w:lineRule="auto"/>
      </w:pPr>
    </w:p>
    <w:p w14:paraId="767F3E8B" w14:textId="77777777" w:rsidR="003821A4" w:rsidRDefault="00F456A6" w:rsidP="00921D89">
      <w:pPr>
        <w:spacing w:after="0" w:line="360" w:lineRule="auto"/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292526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2925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292526"/>
                  </w:rPr>
                  <m:t>obs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292526"/>
                  </w:rPr>
                  <m:t>i,y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color w:val="292526"/>
              </w:rPr>
              <m:t>2</m:t>
            </m:r>
          </m:sup>
        </m:sSubSup>
        <m:r>
          <w:rPr>
            <w:rFonts w:ascii="Cambria Math" w:eastAsiaTheme="minorEastAsia" w:hAnsi="Cambria Math"/>
            <w:color w:val="292526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color w:val="292526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292526"/>
                  </w:rPr>
                  <m:t>σ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2925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292526"/>
                  </w:rPr>
                  <m:t>SE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292526"/>
                  </w:rPr>
                  <m:t>i,y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color w:val="292526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292526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29252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292526"/>
              </w:rPr>
              <m:t>est</m:t>
            </m:r>
          </m:sub>
          <m:sup>
            <m:r>
              <w:rPr>
                <w:rFonts w:ascii="Cambria Math" w:eastAsiaTheme="minorEastAsia" w:hAnsi="Cambria Math" w:cs="Times New Roman"/>
                <w:color w:val="292526"/>
              </w:rPr>
              <m:t>2</m:t>
            </m:r>
          </m:sup>
        </m:sSubSup>
      </m:oMath>
      <w:r w:rsidR="003821A4">
        <w:rPr>
          <w:rFonts w:eastAsiaTheme="minorEastAsia"/>
          <w:color w:val="292526"/>
        </w:rPr>
        <w:t>.</w:t>
      </w:r>
    </w:p>
    <w:p w14:paraId="0A8F5FDF" w14:textId="77777777" w:rsidR="00C670FE" w:rsidRDefault="00C670FE" w:rsidP="00921D89">
      <w:pPr>
        <w:spacing w:after="0" w:line="360" w:lineRule="auto"/>
      </w:pPr>
    </w:p>
    <w:p w14:paraId="395DADC7" w14:textId="77777777" w:rsidR="003821A4" w:rsidRDefault="00C86A4C" w:rsidP="00921D89">
      <w:pPr>
        <w:spacing w:after="0" w:line="360" w:lineRule="auto"/>
      </w:pPr>
      <w:r w:rsidRPr="00CE51A2">
        <w:t xml:space="preserve">The trend </w:t>
      </w:r>
      <m:oMath>
        <m:r>
          <w:rPr>
            <w:rFonts w:ascii="Cambria Math" w:hAnsi="Cambria Math" w:cs="Times New Roman"/>
            <w:color w:val="292526"/>
          </w:rPr>
          <m:t>ρ</m:t>
        </m:r>
      </m:oMath>
      <w:r w:rsidR="007B6235" w:rsidRPr="00CE51A2">
        <w:rPr>
          <w:rFonts w:ascii="Symbol" w:hAnsi="Symbol"/>
          <w:i/>
        </w:rPr>
        <w:t></w:t>
      </w:r>
      <w:r w:rsidR="007B6235">
        <w:t xml:space="preserve"> has </w:t>
      </w:r>
      <w:proofErr w:type="gramStart"/>
      <w:r w:rsidR="007B6235">
        <w:t>a</w:t>
      </w:r>
      <w:proofErr w:type="gramEnd"/>
      <w:r w:rsidR="007B6235">
        <w:t xml:space="preserve"> </w:t>
      </w:r>
      <w:r w:rsidR="00C670FE">
        <w:t>uninformative</w:t>
      </w:r>
      <w:r w:rsidRPr="00CE51A2">
        <w:t xml:space="preserve"> normal prior</w:t>
      </w:r>
      <w:r w:rsidR="00140843">
        <w:t xml:space="preserve"> with a mean of zero and a standard deviation</w:t>
      </w:r>
      <w:r w:rsidR="007B6235">
        <w:t xml:space="preserve"> </w:t>
      </w:r>
      <w:r w:rsidR="00140843">
        <w:t>of 1000. T</w:t>
      </w:r>
      <w:r w:rsidR="007B6235">
        <w:t>he</w:t>
      </w:r>
      <w:r w:rsidRPr="00CE51A2">
        <w:t xml:space="preserve"> catchability coefficient</w:t>
      </w:r>
      <w:r w:rsidR="007B6235">
        <w:t xml:space="preserve">s </w:t>
      </w:r>
      <w:r w:rsidR="007B6235">
        <w:rPr>
          <w:i/>
        </w:rPr>
        <w:t>q</w:t>
      </w:r>
      <w:r w:rsidR="007B6235">
        <w:rPr>
          <w:i/>
          <w:vertAlign w:val="subscript"/>
        </w:rPr>
        <w:t>2…n</w:t>
      </w:r>
      <w:r w:rsidR="003821A4">
        <w:t>,</w:t>
      </w:r>
      <w:r w:rsidR="007B6235">
        <w:t xml:space="preserve"> the process variance</w:t>
      </w:r>
      <w:r w:rsidRPr="00CE51A2"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color w:val="292526"/>
              </w:rPr>
            </m:ctrlPr>
          </m:sSubSupPr>
          <m:e>
            <m:r>
              <w:rPr>
                <w:rFonts w:ascii="Cambria Math" w:hAnsi="Cambria Math" w:cs="Times New Roman"/>
                <w:color w:val="292526"/>
              </w:rPr>
              <m:t>σ</m:t>
            </m:r>
          </m:e>
          <m:sub>
            <m:r>
              <w:rPr>
                <w:rFonts w:ascii="Cambria Math" w:hAnsi="Cambria Math" w:cs="Times New Roman"/>
                <w:color w:val="292526"/>
              </w:rPr>
              <m:t>proc</m:t>
            </m:r>
          </m:sub>
          <m:sup>
            <m:r>
              <w:rPr>
                <w:rFonts w:ascii="Cambria Math" w:hAnsi="Cambria Math" w:cs="Times New Roman"/>
                <w:color w:val="292526"/>
              </w:rPr>
              <m:t>2</m:t>
            </m:r>
          </m:sup>
        </m:sSubSup>
        <m:r>
          <w:rPr>
            <w:rFonts w:ascii="Cambria Math" w:hAnsi="Cambria Math" w:cs="Times New Roman"/>
            <w:color w:val="292526"/>
          </w:rPr>
          <m:t xml:space="preserve"> </m:t>
        </m:r>
      </m:oMath>
      <w:r w:rsidR="003821A4">
        <w:rPr>
          <w:rFonts w:eastAsiaTheme="minorEastAsia"/>
          <w:color w:val="292526"/>
        </w:rPr>
        <w:t xml:space="preserve">and the estimable observation variance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292526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292526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292526"/>
              </w:rPr>
              <m:t>est</m:t>
            </m:r>
          </m:sub>
          <m:sup>
            <m:r>
              <w:rPr>
                <w:rFonts w:ascii="Cambria Math" w:eastAsiaTheme="minorEastAsia" w:hAnsi="Cambria Math" w:cs="Times New Roman"/>
                <w:color w:val="292526"/>
              </w:rPr>
              <m:t>2</m:t>
            </m:r>
          </m:sup>
        </m:sSubSup>
      </m:oMath>
      <w:r w:rsidR="003821A4">
        <w:rPr>
          <w:rFonts w:eastAsiaTheme="minorEastAsia"/>
          <w:color w:val="292526"/>
        </w:rPr>
        <w:t xml:space="preserve"> are assumed to follow </w:t>
      </w:r>
      <w:r w:rsidRPr="00CE51A2">
        <w:t>a non-informative inverse</w:t>
      </w:r>
      <w:r w:rsidRPr="004911A9">
        <w:t>-gamma distribution</w:t>
      </w:r>
      <w:r w:rsidR="003821A4">
        <w:t xml:space="preserve"> with both gamma scaling parameters set to 0.001</w:t>
      </w:r>
      <w:r w:rsidRPr="00233B1C">
        <w:t>.</w:t>
      </w:r>
      <w:r w:rsidR="00F028FB">
        <w:t xml:space="preserve"> </w:t>
      </w:r>
    </w:p>
    <w:p w14:paraId="59E074DF" w14:textId="77777777" w:rsidR="00C670FE" w:rsidRDefault="00C670FE" w:rsidP="00921D89">
      <w:pPr>
        <w:spacing w:after="0" w:line="360" w:lineRule="auto"/>
        <w:rPr>
          <w:b/>
        </w:rPr>
      </w:pPr>
    </w:p>
    <w:p w14:paraId="12F07717" w14:textId="77777777" w:rsidR="00BF6C73" w:rsidRDefault="00BF6C73" w:rsidP="00921D89">
      <w:pPr>
        <w:spacing w:after="0" w:line="360" w:lineRule="auto"/>
      </w:pPr>
      <w:r>
        <w:t xml:space="preserve">The </w:t>
      </w:r>
      <w:r w:rsidRPr="00BF6C73">
        <w:t xml:space="preserve">model is run from the R working environment (R Core Team, 2014) and then executed in JAGS (Plummer 2003), using the wrapper function </w:t>
      </w:r>
      <w:proofErr w:type="gramStart"/>
      <w:r w:rsidRPr="00BF6C73">
        <w:t>jags(</w:t>
      </w:r>
      <w:proofErr w:type="gramEnd"/>
      <w:r w:rsidRPr="00BF6C73">
        <w:t xml:space="preserve">) from the R library ‘r2jags’ (Su and </w:t>
      </w:r>
      <w:proofErr w:type="spellStart"/>
      <w:r w:rsidRPr="00BF6C73">
        <w:t>Yajima</w:t>
      </w:r>
      <w:proofErr w:type="spellEnd"/>
      <w:r w:rsidRPr="00BF6C73">
        <w:t xml:space="preserve"> 2012). The Bayesian posterior distributions are estimated by means of a Markov Chains Monte Carlo (MCMC) simulation. Convergence of the MCMC chains is diagnosed using the ‘coda’ package (Plummer et al. 2006), adopting minimal thresholds of p = 0.05 for </w:t>
      </w:r>
      <w:proofErr w:type="spellStart"/>
      <w:r w:rsidRPr="00BF6C73">
        <w:t>Geweke’s</w:t>
      </w:r>
      <w:proofErr w:type="spellEnd"/>
      <w:r w:rsidRPr="00BF6C73">
        <w:t xml:space="preserve"> diagnostic (</w:t>
      </w:r>
      <w:proofErr w:type="spellStart"/>
      <w:r w:rsidRPr="00BF6C73">
        <w:t>Geweke</w:t>
      </w:r>
      <w:proofErr w:type="spellEnd"/>
      <w:r w:rsidRPr="00BF6C73">
        <w:t xml:space="preserve"> 1992) called from R.</w:t>
      </w:r>
    </w:p>
    <w:p w14:paraId="2E156C4C" w14:textId="77777777" w:rsidR="00BF6C73" w:rsidRPr="006D487A" w:rsidRDefault="00BF6C73" w:rsidP="00921D89">
      <w:pPr>
        <w:spacing w:after="0" w:line="360" w:lineRule="auto"/>
        <w:rPr>
          <w:b/>
        </w:rPr>
      </w:pPr>
    </w:p>
    <w:p w14:paraId="06E86945" w14:textId="77777777" w:rsidR="006D487A" w:rsidRPr="001427D1" w:rsidRDefault="001427D1" w:rsidP="00921D89">
      <w:pPr>
        <w:spacing w:after="0" w:line="360" w:lineRule="auto"/>
        <w:rPr>
          <w:b/>
        </w:rPr>
      </w:pPr>
      <w:r>
        <w:rPr>
          <w:b/>
        </w:rPr>
        <w:t xml:space="preserve">Application to hake trawl survey indices </w:t>
      </w:r>
    </w:p>
    <w:p w14:paraId="1D1B1E63" w14:textId="77777777" w:rsidR="001427D1" w:rsidRPr="003076A7" w:rsidRDefault="001427D1" w:rsidP="007A2C18">
      <w:pPr>
        <w:spacing w:after="0" w:line="360" w:lineRule="auto"/>
        <w:rPr>
          <w:rFonts w:ascii="Calibri" w:eastAsia="Times New Roman" w:hAnsi="Calibri" w:cs="Times New Roman"/>
          <w:color w:val="000000"/>
          <w:lang w:val="en-ZA" w:eastAsia="en-ZA"/>
        </w:rPr>
      </w:pPr>
      <w:r>
        <w:t>For the purpose of this initial analysis, I used the</w:t>
      </w:r>
      <w:r w:rsidRPr="001427D1">
        <w:t xml:space="preserve"> </w:t>
      </w:r>
      <w:r w:rsidRPr="001427D1">
        <w:rPr>
          <w:bCs/>
        </w:rPr>
        <w:t>model-based geostatistical trawl survey biomass indices</w:t>
      </w:r>
      <w:r>
        <w:rPr>
          <w:bCs/>
        </w:rPr>
        <w:t xml:space="preserve"> presented in Winker et al. (2017). </w:t>
      </w:r>
      <w:r w:rsidR="003076A7">
        <w:rPr>
          <w:bCs/>
        </w:rPr>
        <w:t xml:space="preserve">For </w:t>
      </w:r>
      <w:r w:rsidR="003076A7">
        <w:rPr>
          <w:bCs/>
          <w:i/>
        </w:rPr>
        <w:t xml:space="preserve">M. </w:t>
      </w:r>
      <w:proofErr w:type="spellStart"/>
      <w:r w:rsidR="003076A7">
        <w:rPr>
          <w:bCs/>
          <w:i/>
        </w:rPr>
        <w:t>capensis</w:t>
      </w:r>
      <w:proofErr w:type="spellEnd"/>
      <w:r w:rsidR="00713199">
        <w:rPr>
          <w:bCs/>
        </w:rPr>
        <w:t>, I individually fitted the model</w:t>
      </w:r>
      <w:r w:rsidR="003076A7">
        <w:rPr>
          <w:bCs/>
        </w:rPr>
        <w:t xml:space="preserve"> </w:t>
      </w:r>
      <w:r w:rsidR="00713199">
        <w:rPr>
          <w:bCs/>
        </w:rPr>
        <w:t>to (i) the west coast summer survey index</w:t>
      </w:r>
      <w:r w:rsidR="003076A7">
        <w:rPr>
          <w:bCs/>
        </w:rPr>
        <w:t xml:space="preserve"> and (ii) south coast autumn and spring survey</w:t>
      </w:r>
      <w:r w:rsidR="00713199">
        <w:rPr>
          <w:bCs/>
        </w:rPr>
        <w:t xml:space="preserve"> indices</w:t>
      </w:r>
      <w:r w:rsidR="003076A7">
        <w:rPr>
          <w:bCs/>
        </w:rPr>
        <w:t xml:space="preserve">. For </w:t>
      </w:r>
      <w:r w:rsidR="003076A7">
        <w:rPr>
          <w:bCs/>
          <w:i/>
        </w:rPr>
        <w:t xml:space="preserve">M. </w:t>
      </w:r>
      <w:proofErr w:type="spellStart"/>
      <w:r w:rsidR="003076A7">
        <w:rPr>
          <w:bCs/>
          <w:i/>
        </w:rPr>
        <w:t>paradoxis</w:t>
      </w:r>
      <w:proofErr w:type="spellEnd"/>
      <w:r w:rsidR="003076A7" w:rsidRPr="003076A7">
        <w:rPr>
          <w:bCs/>
        </w:rPr>
        <w:t xml:space="preserve">, </w:t>
      </w:r>
      <w:r w:rsidR="003076A7">
        <w:rPr>
          <w:bCs/>
        </w:rPr>
        <w:t>I only consider</w:t>
      </w:r>
      <w:r w:rsidR="00713199">
        <w:rPr>
          <w:bCs/>
        </w:rPr>
        <w:t>ed the west coast survey</w:t>
      </w:r>
      <w:r w:rsidR="003076A7">
        <w:rPr>
          <w:bCs/>
        </w:rPr>
        <w:t>, because the south coast s</w:t>
      </w:r>
      <w:r w:rsidR="00713199">
        <w:rPr>
          <w:bCs/>
        </w:rPr>
        <w:t>urveys for this species appear</w:t>
      </w:r>
      <w:r w:rsidR="00F92E46">
        <w:rPr>
          <w:bCs/>
        </w:rPr>
        <w:t>s</w:t>
      </w:r>
      <w:r w:rsidR="00713199">
        <w:rPr>
          <w:bCs/>
        </w:rPr>
        <w:t xml:space="preserve"> to be</w:t>
      </w:r>
      <w:r w:rsidR="003076A7">
        <w:rPr>
          <w:bCs/>
        </w:rPr>
        <w:t xml:space="preserve"> associated with high variation and ambiguous trends. Catchabilities </w:t>
      </w:r>
      <w:r w:rsidR="003076A7">
        <w:rPr>
          <w:bCs/>
          <w:i/>
        </w:rPr>
        <w:t>q</w:t>
      </w:r>
      <w:r w:rsidR="003076A7">
        <w:rPr>
          <w:bCs/>
          <w:i/>
          <w:vertAlign w:val="subscript"/>
        </w:rPr>
        <w:t>i</w:t>
      </w:r>
      <w:r w:rsidR="003076A7">
        <w:rPr>
          <w:bCs/>
        </w:rPr>
        <w:t xml:space="preserve"> were estimated separately for </w:t>
      </w:r>
      <w:r w:rsidR="003076A7">
        <w:rPr>
          <w:rFonts w:ascii="Calibri" w:eastAsia="Times New Roman" w:hAnsi="Calibri" w:cs="Times New Roman"/>
          <w:color w:val="000000"/>
          <w:lang w:val="en-ZA" w:eastAsia="en-ZA"/>
        </w:rPr>
        <w:t>RV Africana surveys with (1) ‘old ge</w:t>
      </w:r>
      <w:r w:rsidR="00713199">
        <w:rPr>
          <w:rFonts w:ascii="Calibri" w:eastAsia="Times New Roman" w:hAnsi="Calibri" w:cs="Times New Roman"/>
          <w:color w:val="000000"/>
          <w:lang w:val="en-ZA" w:eastAsia="en-ZA"/>
        </w:rPr>
        <w:t>ar’ and (2) ‘new gear’ and (3) c</w:t>
      </w:r>
      <w:r w:rsidR="003076A7">
        <w:rPr>
          <w:rFonts w:ascii="Calibri" w:eastAsia="Times New Roman" w:hAnsi="Calibri" w:cs="Times New Roman"/>
          <w:color w:val="000000"/>
          <w:lang w:val="en-ZA" w:eastAsia="en-ZA"/>
        </w:rPr>
        <w:t>ommercial vessel surveys (</w:t>
      </w:r>
      <w:r w:rsidR="003076A7" w:rsidRPr="0064024C">
        <w:rPr>
          <w:rFonts w:ascii="Calibri" w:eastAsia="Times New Roman" w:hAnsi="Calibri" w:cs="Times New Roman"/>
          <w:color w:val="000000"/>
          <w:lang w:val="en-ZA" w:eastAsia="en-ZA"/>
        </w:rPr>
        <w:t>FV Andromeda</w:t>
      </w:r>
      <w:r w:rsidR="003076A7">
        <w:rPr>
          <w:rFonts w:ascii="Calibri" w:eastAsia="Times New Roman" w:hAnsi="Calibri" w:cs="Times New Roman"/>
          <w:color w:val="000000"/>
          <w:lang w:val="en-ZA" w:eastAsia="en-ZA"/>
        </w:rPr>
        <w:t xml:space="preserve"> or </w:t>
      </w:r>
      <w:r w:rsidR="003076A7" w:rsidRPr="0064024C">
        <w:rPr>
          <w:rFonts w:ascii="Calibri" w:eastAsia="Times New Roman" w:hAnsi="Calibri" w:cs="Times New Roman"/>
          <w:color w:val="000000"/>
          <w:lang w:val="en-ZA" w:eastAsia="en-ZA"/>
        </w:rPr>
        <w:t>FV Compass Challenger</w:t>
      </w:r>
      <w:r w:rsidR="003076A7">
        <w:rPr>
          <w:rFonts w:ascii="Calibri" w:eastAsia="Times New Roman" w:hAnsi="Calibri" w:cs="Times New Roman"/>
          <w:color w:val="000000"/>
          <w:lang w:val="en-ZA" w:eastAsia="en-ZA"/>
        </w:rPr>
        <w:t xml:space="preserve">), which were all conducted with the ‘new gear’.  </w:t>
      </w:r>
      <w:r w:rsidR="003076A7">
        <w:rPr>
          <w:bCs/>
        </w:rPr>
        <w:t xml:space="preserve"> </w:t>
      </w:r>
    </w:p>
    <w:p w14:paraId="346976C9" w14:textId="77777777" w:rsidR="00B3455F" w:rsidRDefault="00B3455F" w:rsidP="007A2C18">
      <w:pPr>
        <w:spacing w:after="0" w:line="360" w:lineRule="auto"/>
      </w:pPr>
    </w:p>
    <w:p w14:paraId="4CFEC70C" w14:textId="77777777" w:rsidR="009C33A2" w:rsidRDefault="00CC5A74" w:rsidP="007A2C18">
      <w:pPr>
        <w:spacing w:after="0" w:line="360" w:lineRule="auto"/>
      </w:pPr>
      <w:r>
        <w:t>The estimated catchability ratios</w:t>
      </w:r>
      <w:r w:rsidR="00713199">
        <w:t xml:space="preserve"> of old gear to new g</w:t>
      </w:r>
      <w:r>
        <w:t xml:space="preserve">ear are summarized for reference in </w:t>
      </w:r>
      <w:r w:rsidRPr="00F92E46">
        <w:rPr>
          <w:b/>
        </w:rPr>
        <w:t>Table 1</w:t>
      </w:r>
      <w:r>
        <w:t xml:space="preserve"> and provide evidence that the </w:t>
      </w:r>
      <w:r w:rsidR="00713199">
        <w:t>new g</w:t>
      </w:r>
      <w:r>
        <w:t xml:space="preserve">ear is generally less efficient for hakes. </w:t>
      </w:r>
      <w:r w:rsidR="007A2C18">
        <w:t xml:space="preserve">The key results for the </w:t>
      </w:r>
      <w:r w:rsidR="007A2C18">
        <w:lastRenderedPageBreak/>
        <w:t>estimated catchability ratios of Commercial vessel surveys to the RV Af</w:t>
      </w:r>
      <w:r>
        <w:t xml:space="preserve">ricana are summarized in </w:t>
      </w:r>
      <w:r w:rsidRPr="00F92E46">
        <w:rPr>
          <w:b/>
        </w:rPr>
        <w:t>Table 2</w:t>
      </w:r>
      <w:r w:rsidR="007A2C18">
        <w:t>. For all cases the estimates suggest reduction in catchability for the commercial vessel surveys (</w:t>
      </w:r>
      <w:r w:rsidR="007A2C18" w:rsidRPr="00F92E46">
        <w:rPr>
          <w:b/>
        </w:rPr>
        <w:t>Figs. 1-3</w:t>
      </w:r>
      <w:r w:rsidR="007A2C18">
        <w:t>). The ratio esti</w:t>
      </w:r>
      <w:r w:rsidR="009C33A2">
        <w:t>mates were particularly precise</w:t>
      </w:r>
      <w:r w:rsidR="005C26F9">
        <w:t xml:space="preserve"> for the </w:t>
      </w:r>
      <w:r w:rsidR="005C26F9">
        <w:rPr>
          <w:i/>
        </w:rPr>
        <w:t xml:space="preserve">M. </w:t>
      </w:r>
      <w:proofErr w:type="spellStart"/>
      <w:r w:rsidR="005C26F9">
        <w:rPr>
          <w:i/>
        </w:rPr>
        <w:t>capensis</w:t>
      </w:r>
      <w:proofErr w:type="spellEnd"/>
      <w:r w:rsidR="005C26F9">
        <w:t xml:space="preserve"> south coast survey and the </w:t>
      </w:r>
      <w:r w:rsidR="005C26F9">
        <w:rPr>
          <w:i/>
        </w:rPr>
        <w:t>M. paradoxus</w:t>
      </w:r>
      <w:r w:rsidR="000E211B">
        <w:t xml:space="preserve"> </w:t>
      </w:r>
      <w:r w:rsidR="005C26F9">
        <w:t>west coast survey. In both cases, the 95% Credibility Intervals did not overlap with 1, indicating that t</w:t>
      </w:r>
      <w:r w:rsidR="00716C91">
        <w:t>he effect is of</w:t>
      </w:r>
      <w:r w:rsidR="005C26F9">
        <w:t xml:space="preserve"> statistical significance. </w:t>
      </w:r>
      <w:r w:rsidR="00900FD8">
        <w:t xml:space="preserve"> Noting that the first</w:t>
      </w:r>
      <w:r w:rsidR="009C33A2">
        <w:t xml:space="preserve"> west coast</w:t>
      </w:r>
      <w:r w:rsidR="00900FD8">
        <w:t xml:space="preserve"> survey conducted with </w:t>
      </w:r>
      <w:r w:rsidR="009C33A2">
        <w:t xml:space="preserve">a commercial vessel in 2013 produced a relatively low biomass estimate for </w:t>
      </w:r>
      <w:r w:rsidR="009C33A2">
        <w:rPr>
          <w:i/>
        </w:rPr>
        <w:t>M. paradoxus</w:t>
      </w:r>
      <w:r w:rsidR="009C33A2">
        <w:t xml:space="preserve"> compared the three following years 2014-2016, I also provide results for a sensitivity run, for which excluded the 2013 estimate (</w:t>
      </w:r>
      <w:r w:rsidR="009C33A2" w:rsidRPr="00F92E46">
        <w:rPr>
          <w:b/>
        </w:rPr>
        <w:t>Fig. 4</w:t>
      </w:r>
      <w:r w:rsidR="009C33A2">
        <w:t>)</w:t>
      </w:r>
      <w:r>
        <w:t>, which resulted in a relative increase to about 80% catchability compared to the RV Africana.</w:t>
      </w:r>
      <w:r w:rsidR="009C33A2">
        <w:t xml:space="preserve"> </w:t>
      </w:r>
      <w:r>
        <w:t xml:space="preserve"> </w:t>
      </w:r>
    </w:p>
    <w:p w14:paraId="652702E1" w14:textId="77777777" w:rsidR="00451792" w:rsidRDefault="00451792" w:rsidP="007A2C18">
      <w:pPr>
        <w:spacing w:after="0" w:line="360" w:lineRule="auto"/>
        <w:rPr>
          <w:b/>
        </w:rPr>
      </w:pPr>
    </w:p>
    <w:p w14:paraId="24A664AE" w14:textId="77777777" w:rsidR="00640CBD" w:rsidRDefault="00640CBD" w:rsidP="007A2C18">
      <w:pPr>
        <w:spacing w:after="0" w:line="360" w:lineRule="auto"/>
        <w:rPr>
          <w:b/>
        </w:rPr>
      </w:pPr>
      <w:r>
        <w:rPr>
          <w:b/>
        </w:rPr>
        <w:t>References</w:t>
      </w:r>
    </w:p>
    <w:p w14:paraId="1E71331E" w14:textId="77777777" w:rsidR="00106EAD" w:rsidRDefault="00106EAD" w:rsidP="00106EAD">
      <w:pPr>
        <w:spacing w:after="120"/>
      </w:pPr>
      <w:r w:rsidRPr="00106EAD">
        <w:t xml:space="preserve">Francis, R.I.C.C., Hurst, R.J., Renwick, J.A., 2003. </w:t>
      </w:r>
      <w:r w:rsidRPr="00106EAD">
        <w:rPr>
          <w:u w:val="single"/>
        </w:rPr>
        <w:t>Quantifying annual variation in catchability for commercial and research fishing.</w:t>
      </w:r>
      <w:r w:rsidRPr="00106EAD">
        <w:rPr>
          <w:i/>
        </w:rPr>
        <w:t xml:space="preserve"> Fish. Bull</w:t>
      </w:r>
      <w:r w:rsidRPr="00106EAD">
        <w:t>. 101, 293–304.</w:t>
      </w:r>
    </w:p>
    <w:p w14:paraId="77C2B972" w14:textId="77777777" w:rsidR="00106EAD" w:rsidRDefault="00106EAD" w:rsidP="00106EAD">
      <w:pPr>
        <w:spacing w:after="120"/>
      </w:pPr>
      <w:proofErr w:type="spellStart"/>
      <w:r w:rsidRPr="00106EAD">
        <w:t>Geweke</w:t>
      </w:r>
      <w:proofErr w:type="spellEnd"/>
      <w:r w:rsidRPr="00106EAD">
        <w:t xml:space="preserve">, J. (1992) </w:t>
      </w:r>
      <w:r w:rsidRPr="00106EAD">
        <w:rPr>
          <w:u w:val="single"/>
        </w:rPr>
        <w:t>Evaluating the accuracy of sampling-based approaches to the calculation of posterior moments</w:t>
      </w:r>
      <w:r w:rsidRPr="00106EAD">
        <w:t xml:space="preserve">. In: </w:t>
      </w:r>
      <w:r w:rsidRPr="00106EAD">
        <w:rPr>
          <w:i/>
        </w:rPr>
        <w:t xml:space="preserve">Bayesian Statistics 4: Proceedings of the Fourth Valencia International Meeting. </w:t>
      </w:r>
      <w:r w:rsidRPr="00106EAD">
        <w:t>(</w:t>
      </w:r>
      <w:proofErr w:type="spellStart"/>
      <w:r w:rsidRPr="00106EAD">
        <w:t>eds</w:t>
      </w:r>
      <w:proofErr w:type="spellEnd"/>
      <w:r w:rsidRPr="00106EAD">
        <w:t xml:space="preserve"> J.O. Berger, J.M. Bernardo, A.P. </w:t>
      </w:r>
      <w:proofErr w:type="spellStart"/>
      <w:r w:rsidRPr="00106EAD">
        <w:t>Dawid</w:t>
      </w:r>
      <w:proofErr w:type="spellEnd"/>
      <w:r w:rsidRPr="00106EAD">
        <w:t xml:space="preserve"> and A.F.M. Smith). Clarendon Press, Oxford, pp 169–193.</w:t>
      </w:r>
    </w:p>
    <w:p w14:paraId="0451496C" w14:textId="77777777" w:rsidR="00106EAD" w:rsidRDefault="00106EAD" w:rsidP="00106EAD">
      <w:pPr>
        <w:spacing w:after="120"/>
      </w:pPr>
      <w:r w:rsidRPr="00106EAD">
        <w:t xml:space="preserve">Plummer, M. (2003) </w:t>
      </w:r>
      <w:r w:rsidRPr="00106EAD">
        <w:rPr>
          <w:u w:val="single"/>
        </w:rPr>
        <w:t>JAGS: A Program for Analysis of Bayesian Graphical Models using Gibbs Sampling</w:t>
      </w:r>
      <w:r>
        <w:t>, (Vol. 124).</w:t>
      </w:r>
    </w:p>
    <w:p w14:paraId="3D7A6337" w14:textId="77777777" w:rsidR="00106EAD" w:rsidRPr="00106EAD" w:rsidRDefault="00106EAD" w:rsidP="00106EAD">
      <w:pPr>
        <w:spacing w:after="120"/>
      </w:pPr>
      <w:r w:rsidRPr="00106EAD">
        <w:t xml:space="preserve">Plummer, M., Nicky Best, Cowles, K. and Vines, K. (2006) </w:t>
      </w:r>
      <w:r w:rsidRPr="00106EAD">
        <w:rPr>
          <w:u w:val="single"/>
        </w:rPr>
        <w:t>CODA: Convergence Diagnosis and Output Analysis for MCMC.</w:t>
      </w:r>
      <w:r w:rsidRPr="00106EAD">
        <w:t xml:space="preserve"> </w:t>
      </w:r>
      <w:r w:rsidRPr="00106EAD">
        <w:rPr>
          <w:i/>
        </w:rPr>
        <w:t>R News</w:t>
      </w:r>
      <w:r w:rsidRPr="00106EAD">
        <w:t xml:space="preserve"> 6, 7–11.</w:t>
      </w:r>
    </w:p>
    <w:p w14:paraId="1B3D0A8D" w14:textId="77777777" w:rsidR="00106EAD" w:rsidRDefault="00106EAD" w:rsidP="00106EAD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333333"/>
        </w:rPr>
      </w:pPr>
      <w:r w:rsidRPr="00106EAD">
        <w:rPr>
          <w:rFonts w:cs="Times New Roman"/>
          <w:color w:val="333333"/>
        </w:rPr>
        <w:t xml:space="preserve">Su, Y.-S. and </w:t>
      </w:r>
      <w:proofErr w:type="spellStart"/>
      <w:r w:rsidRPr="00106EAD">
        <w:rPr>
          <w:rFonts w:cs="Times New Roman"/>
          <w:color w:val="333333"/>
        </w:rPr>
        <w:t>Yajima</w:t>
      </w:r>
      <w:proofErr w:type="spellEnd"/>
      <w:r w:rsidRPr="00106EAD">
        <w:rPr>
          <w:rFonts w:cs="Times New Roman"/>
          <w:color w:val="333333"/>
        </w:rPr>
        <w:t xml:space="preserve">, M. (2012) </w:t>
      </w:r>
      <w:r w:rsidRPr="00106EAD">
        <w:rPr>
          <w:rFonts w:cs="Times New Roman"/>
          <w:color w:val="333333"/>
          <w:u w:val="single"/>
        </w:rPr>
        <w:t>R2jags: A Package for Running jags from R.</w:t>
      </w:r>
    </w:p>
    <w:p w14:paraId="0FCA8756" w14:textId="77777777" w:rsidR="00106EAD" w:rsidRPr="00106EAD" w:rsidRDefault="00DE759B" w:rsidP="00106EAD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FF"/>
          <w:u w:val="single"/>
        </w:rPr>
      </w:pPr>
      <w:r w:rsidRPr="00DE759B">
        <w:rPr>
          <w:rFonts w:cs="Times New Roman"/>
          <w:color w:val="333333"/>
        </w:rPr>
        <w:t xml:space="preserve">Winker H, Fairweather T and Leslie R (2017). </w:t>
      </w:r>
      <w:r w:rsidRPr="00DE759B">
        <w:rPr>
          <w:rFonts w:cs="Times New Roman"/>
          <w:color w:val="333333"/>
          <w:u w:val="single"/>
        </w:rPr>
        <w:t xml:space="preserve">Comparison of model-based geostatistical trawl survey biomass indices with the current design-based estimates for the South African hakes. </w:t>
      </w:r>
      <w:r w:rsidRPr="00DE759B">
        <w:rPr>
          <w:rFonts w:cs="Times New Roman"/>
          <w:i/>
          <w:color w:val="333333"/>
        </w:rPr>
        <w:t xml:space="preserve"> International Fisheries Stock Assessment Review Workshop, Cape Town, South Africa, MARAM/IWS/2017/ Hakes/P7</w:t>
      </w:r>
      <w:r w:rsidRPr="00DE759B">
        <w:rPr>
          <w:rFonts w:cs="Times New Roman"/>
          <w:color w:val="333333"/>
        </w:rPr>
        <w:t xml:space="preserve">, p. 15, </w:t>
      </w:r>
      <w:hyperlink r:id="rId10" w:history="1">
        <w:r w:rsidR="00106EAD" w:rsidRPr="00E61915">
          <w:rPr>
            <w:rStyle w:val="Hyperlink"/>
            <w:rFonts w:cs="Times New Roman"/>
          </w:rPr>
          <w:t>http://www.maram.uct.ac.za/maram/ workshops/2017</w:t>
        </w:r>
      </w:hyperlink>
    </w:p>
    <w:p w14:paraId="67B6A5FD" w14:textId="77777777" w:rsidR="00DE759B" w:rsidRPr="00DE759B" w:rsidRDefault="00DE759B" w:rsidP="00106EA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E759B">
        <w:rPr>
          <w:rFonts w:cs="Times New Roman"/>
          <w:color w:val="333333"/>
        </w:rPr>
        <w:t xml:space="preserve">Winker, H., Carvalho, F. and </w:t>
      </w:r>
      <w:proofErr w:type="spellStart"/>
      <w:r w:rsidRPr="00DE759B">
        <w:rPr>
          <w:rFonts w:cs="Times New Roman"/>
          <w:color w:val="333333"/>
        </w:rPr>
        <w:t>Kapur</w:t>
      </w:r>
      <w:proofErr w:type="spellEnd"/>
      <w:r w:rsidRPr="00DE759B">
        <w:rPr>
          <w:rFonts w:cs="Times New Roman"/>
          <w:color w:val="333333"/>
        </w:rPr>
        <w:t xml:space="preserve">, M. (2018) </w:t>
      </w:r>
      <w:r w:rsidRPr="00DE759B">
        <w:rPr>
          <w:rFonts w:cs="Times New Roman"/>
          <w:color w:val="333333"/>
          <w:u w:val="single"/>
        </w:rPr>
        <w:t>JABBA: Just Another Bayesian Biomass Assessment.</w:t>
      </w:r>
      <w:r w:rsidRPr="00DE759B">
        <w:rPr>
          <w:rFonts w:cs="Times New Roman"/>
          <w:color w:val="333333"/>
        </w:rPr>
        <w:t xml:space="preserve"> </w:t>
      </w:r>
      <w:r w:rsidRPr="00DE759B">
        <w:rPr>
          <w:rFonts w:cs="Times New Roman"/>
          <w:i/>
          <w:color w:val="333333"/>
        </w:rPr>
        <w:t>Fisheries Research. 204</w:t>
      </w:r>
      <w:r>
        <w:rPr>
          <w:rFonts w:cs="Times New Roman"/>
          <w:color w:val="333333"/>
        </w:rPr>
        <w:t>: 275-288</w:t>
      </w:r>
    </w:p>
    <w:p w14:paraId="650ABA24" w14:textId="77777777" w:rsidR="001C4EFC" w:rsidRDefault="001C4EFC" w:rsidP="00451792">
      <w:pPr>
        <w:spacing w:after="0" w:line="360" w:lineRule="auto"/>
        <w:rPr>
          <w:b/>
        </w:rPr>
      </w:pPr>
    </w:p>
    <w:p w14:paraId="6793F21C" w14:textId="77777777" w:rsidR="00F92E46" w:rsidRDefault="00F92E46">
      <w:pPr>
        <w:rPr>
          <w:b/>
        </w:rPr>
      </w:pPr>
      <w:r>
        <w:rPr>
          <w:b/>
        </w:rPr>
        <w:br w:type="page"/>
      </w:r>
    </w:p>
    <w:p w14:paraId="31BBFFC1" w14:textId="77777777" w:rsidR="00106EAD" w:rsidRDefault="00106EAD" w:rsidP="00451792">
      <w:pPr>
        <w:spacing w:after="0" w:line="360" w:lineRule="auto"/>
        <w:rPr>
          <w:b/>
        </w:rPr>
      </w:pPr>
    </w:p>
    <w:p w14:paraId="144F51F4" w14:textId="77777777" w:rsidR="00451792" w:rsidRDefault="00451792" w:rsidP="001C4EFC">
      <w:pPr>
        <w:spacing w:after="0" w:line="240" w:lineRule="auto"/>
      </w:pPr>
      <w:r>
        <w:rPr>
          <w:b/>
        </w:rPr>
        <w:t>Table 1</w:t>
      </w:r>
      <w:r>
        <w:t xml:space="preserve">. Summary statistics for estimated catchabilities </w:t>
      </w:r>
      <w:r>
        <w:rPr>
          <w:i/>
        </w:rPr>
        <w:t>q</w:t>
      </w:r>
      <w:r>
        <w:t xml:space="preserve"> for </w:t>
      </w:r>
      <w:r>
        <w:rPr>
          <w:i/>
        </w:rPr>
        <w:t xml:space="preserve">M. </w:t>
      </w:r>
      <w:proofErr w:type="spellStart"/>
      <w:r>
        <w:rPr>
          <w:i/>
        </w:rPr>
        <w:t>capensis</w:t>
      </w:r>
      <w:proofErr w:type="spellEnd"/>
      <w:r>
        <w:rPr>
          <w:i/>
        </w:rPr>
        <w:t xml:space="preserve"> </w:t>
      </w:r>
      <w:r>
        <w:t>(HKC) and</w:t>
      </w:r>
      <w:r>
        <w:rPr>
          <w:i/>
        </w:rPr>
        <w:t xml:space="preserve"> M. paradoxus </w:t>
      </w:r>
      <w:r>
        <w:t xml:space="preserve">(HKP), shown as ratios of  ‘Old Gear’ to ‘New Gear’ for west coast (WC) and south coast (SC) survey indices.  </w:t>
      </w:r>
    </w:p>
    <w:tbl>
      <w:tblPr>
        <w:tblW w:w="6920" w:type="dxa"/>
        <w:tblInd w:w="93" w:type="dxa"/>
        <w:tblLook w:val="04A0" w:firstRow="1" w:lastRow="0" w:firstColumn="1" w:lastColumn="0" w:noHBand="0" w:noVBand="1"/>
      </w:tblPr>
      <w:tblGrid>
        <w:gridCol w:w="2567"/>
        <w:gridCol w:w="901"/>
        <w:gridCol w:w="1120"/>
        <w:gridCol w:w="1108"/>
        <w:gridCol w:w="284"/>
        <w:gridCol w:w="1108"/>
      </w:tblGrid>
      <w:tr w:rsidR="00640CBD" w:rsidRPr="00640CBD" w14:paraId="7329129D" w14:textId="77777777" w:rsidTr="00640CBD">
        <w:trPr>
          <w:trHeight w:val="342"/>
        </w:trPr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07B204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Model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451C05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Median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50BA1E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se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0E39F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95% CI</w:t>
            </w:r>
          </w:p>
        </w:tc>
      </w:tr>
      <w:tr w:rsidR="00640CBD" w:rsidRPr="00640CBD" w14:paraId="27B61C4F" w14:textId="77777777" w:rsidTr="00640CBD">
        <w:trPr>
          <w:trHeight w:val="34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C18A9" w14:textId="77777777" w:rsidR="00640CBD" w:rsidRPr="00640CBD" w:rsidRDefault="00640CBD" w:rsidP="00640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HKC_SC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AB62F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1.558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BD1B0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0.181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811A6" w14:textId="77777777" w:rsidR="00640CBD" w:rsidRPr="00640CBD" w:rsidRDefault="00640CBD" w:rsidP="00640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1.231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9D66F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444F4" w14:textId="77777777" w:rsidR="00640CBD" w:rsidRPr="00640CBD" w:rsidRDefault="00640CBD" w:rsidP="00640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1.958</w:t>
            </w:r>
          </w:p>
        </w:tc>
      </w:tr>
      <w:tr w:rsidR="00640CBD" w:rsidRPr="00640CBD" w14:paraId="3F020BBA" w14:textId="77777777" w:rsidTr="00640CBD">
        <w:trPr>
          <w:trHeight w:val="34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8CA1C" w14:textId="77777777" w:rsidR="00640CBD" w:rsidRPr="00640CBD" w:rsidRDefault="00640CBD" w:rsidP="00640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HKC_WC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E4B9F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1.236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7D61F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0.417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E486B" w14:textId="77777777" w:rsidR="00640CBD" w:rsidRPr="00640CBD" w:rsidRDefault="00640CBD" w:rsidP="00640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0.679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CEC97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D2DC7" w14:textId="77777777" w:rsidR="00640CBD" w:rsidRPr="00640CBD" w:rsidRDefault="00640CBD" w:rsidP="00640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2.338</w:t>
            </w:r>
          </w:p>
        </w:tc>
      </w:tr>
      <w:tr w:rsidR="00640CBD" w:rsidRPr="00640CBD" w14:paraId="70284894" w14:textId="77777777" w:rsidTr="00640CBD">
        <w:trPr>
          <w:trHeight w:val="34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8AFB8" w14:textId="77777777" w:rsidR="00640CBD" w:rsidRPr="00640CBD" w:rsidRDefault="00640CBD" w:rsidP="00640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HKP_WC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9F4D2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1.459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1E101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0.316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18622" w14:textId="77777777" w:rsidR="00640CBD" w:rsidRPr="00640CBD" w:rsidRDefault="00640CBD" w:rsidP="00640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0.992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3849E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37910" w14:textId="77777777" w:rsidR="00640CBD" w:rsidRPr="00640CBD" w:rsidRDefault="00640CBD" w:rsidP="00640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2.203</w:t>
            </w:r>
          </w:p>
        </w:tc>
      </w:tr>
      <w:tr w:rsidR="00640CBD" w:rsidRPr="00640CBD" w14:paraId="0645B5A8" w14:textId="77777777" w:rsidTr="00640CBD">
        <w:trPr>
          <w:trHeight w:val="342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559F0" w14:textId="77777777" w:rsidR="00640CBD" w:rsidRPr="00640CBD" w:rsidRDefault="00640CBD" w:rsidP="00640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HKP_WC (Excl. 2013)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0835EA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1.419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910CD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0.263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64431" w14:textId="77777777" w:rsidR="00640CBD" w:rsidRPr="00640CBD" w:rsidRDefault="00640CBD" w:rsidP="00640C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1.016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02DCBA" w14:textId="77777777" w:rsidR="00640CBD" w:rsidRPr="00640CBD" w:rsidRDefault="00640CBD" w:rsidP="00640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A85A4" w14:textId="77777777" w:rsidR="00640CBD" w:rsidRPr="00640CBD" w:rsidRDefault="00640CBD" w:rsidP="00640C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640CBD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2.018</w:t>
            </w:r>
          </w:p>
        </w:tc>
      </w:tr>
    </w:tbl>
    <w:p w14:paraId="3B568FAD" w14:textId="77777777" w:rsidR="00451792" w:rsidRDefault="00451792" w:rsidP="007A2C18">
      <w:pPr>
        <w:spacing w:after="0" w:line="360" w:lineRule="auto"/>
      </w:pPr>
    </w:p>
    <w:p w14:paraId="02D2A8AF" w14:textId="77777777" w:rsidR="00F92E46" w:rsidRDefault="00F92E46" w:rsidP="007A2C18">
      <w:pPr>
        <w:spacing w:after="0" w:line="360" w:lineRule="auto"/>
      </w:pPr>
    </w:p>
    <w:p w14:paraId="669DE3F7" w14:textId="77777777" w:rsidR="00F92E46" w:rsidRDefault="00F92E46" w:rsidP="007A2C18">
      <w:pPr>
        <w:spacing w:after="0" w:line="360" w:lineRule="auto"/>
      </w:pPr>
    </w:p>
    <w:p w14:paraId="523F62E2" w14:textId="77777777" w:rsidR="00F92E46" w:rsidRDefault="00F92E46" w:rsidP="007A2C18">
      <w:pPr>
        <w:spacing w:after="0" w:line="360" w:lineRule="auto"/>
      </w:pPr>
    </w:p>
    <w:p w14:paraId="64C15503" w14:textId="77777777" w:rsidR="007A2C18" w:rsidRDefault="005C26F9" w:rsidP="007A2C18">
      <w:pPr>
        <w:spacing w:after="0" w:line="360" w:lineRule="auto"/>
      </w:pPr>
      <w:r>
        <w:t xml:space="preserve"> </w:t>
      </w:r>
      <w:r>
        <w:rPr>
          <w:i/>
        </w:rPr>
        <w:t xml:space="preserve"> </w:t>
      </w:r>
      <w:r w:rsidR="007A2C18">
        <w:t xml:space="preserve">      </w:t>
      </w:r>
      <w:r>
        <w:t xml:space="preserve"> </w:t>
      </w:r>
    </w:p>
    <w:p w14:paraId="67E736EB" w14:textId="77777777" w:rsidR="00CC5A74" w:rsidRDefault="00CC5A74" w:rsidP="001C4EFC">
      <w:pPr>
        <w:spacing w:after="0" w:line="240" w:lineRule="auto"/>
      </w:pPr>
      <w:r w:rsidRPr="00451792">
        <w:rPr>
          <w:b/>
        </w:rPr>
        <w:t>Table 2</w:t>
      </w:r>
      <w:r>
        <w:t xml:space="preserve">. Summary statistics for estimated </w:t>
      </w:r>
      <w:r w:rsidR="00451792">
        <w:t xml:space="preserve">catchabilities </w:t>
      </w:r>
      <w:r w:rsidR="00451792">
        <w:rPr>
          <w:i/>
        </w:rPr>
        <w:t>q</w:t>
      </w:r>
      <w:r w:rsidR="00451792">
        <w:t xml:space="preserve"> for </w:t>
      </w:r>
      <w:r w:rsidR="00451792">
        <w:rPr>
          <w:i/>
        </w:rPr>
        <w:t xml:space="preserve">M. </w:t>
      </w:r>
      <w:proofErr w:type="spellStart"/>
      <w:r w:rsidR="00451792">
        <w:rPr>
          <w:i/>
        </w:rPr>
        <w:t>capensis</w:t>
      </w:r>
      <w:proofErr w:type="spellEnd"/>
      <w:r w:rsidR="00451792">
        <w:rPr>
          <w:i/>
        </w:rPr>
        <w:t xml:space="preserve"> </w:t>
      </w:r>
      <w:r w:rsidR="00451792">
        <w:t>(HKC) and</w:t>
      </w:r>
      <w:r w:rsidR="00451792">
        <w:rPr>
          <w:i/>
        </w:rPr>
        <w:t xml:space="preserve"> M. paradoxus </w:t>
      </w:r>
      <w:r w:rsidR="00451792">
        <w:t xml:space="preserve">(HKP), shown as </w:t>
      </w:r>
      <w:r>
        <w:t>ratios of</w:t>
      </w:r>
      <w:r w:rsidR="00451792">
        <w:t xml:space="preserve"> commercial vessels</w:t>
      </w:r>
      <w:r>
        <w:t xml:space="preserve">  </w:t>
      </w:r>
      <w:r w:rsidR="00451792">
        <w:t xml:space="preserve">to the </w:t>
      </w:r>
      <w:r>
        <w:t>RV Africana to commercial vessels</w:t>
      </w:r>
      <w:r w:rsidR="00451792">
        <w:t xml:space="preserve"> for west coast (WC) and south coast (SC) indices. </w:t>
      </w:r>
      <w:r>
        <w:t xml:space="preserve"> </w:t>
      </w:r>
    </w:p>
    <w:tbl>
      <w:tblPr>
        <w:tblW w:w="6920" w:type="dxa"/>
        <w:tblInd w:w="93" w:type="dxa"/>
        <w:tblLook w:val="04A0" w:firstRow="1" w:lastRow="0" w:firstColumn="1" w:lastColumn="0" w:noHBand="0" w:noVBand="1"/>
      </w:tblPr>
      <w:tblGrid>
        <w:gridCol w:w="2283"/>
        <w:gridCol w:w="1017"/>
        <w:gridCol w:w="1120"/>
        <w:gridCol w:w="1108"/>
        <w:gridCol w:w="284"/>
        <w:gridCol w:w="1108"/>
      </w:tblGrid>
      <w:tr w:rsidR="005C26F9" w:rsidRPr="005C26F9" w14:paraId="69CF9F1C" w14:textId="77777777" w:rsidTr="005C26F9">
        <w:trPr>
          <w:trHeight w:val="342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2C59D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Model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D3F59F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Median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2A996" w14:textId="77777777" w:rsidR="005C26F9" w:rsidRPr="005C26F9" w:rsidRDefault="00CC5A74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SE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B08449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95% CI</w:t>
            </w:r>
          </w:p>
        </w:tc>
      </w:tr>
      <w:tr w:rsidR="005C26F9" w:rsidRPr="005C26F9" w14:paraId="4C7CD239" w14:textId="77777777" w:rsidTr="005C26F9">
        <w:trPr>
          <w:trHeight w:val="34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7F705" w14:textId="77777777" w:rsidR="005C26F9" w:rsidRPr="005C26F9" w:rsidRDefault="005C26F9" w:rsidP="005C2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HKC_SC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C72B3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0.674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92ED9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0.124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6EB02" w14:textId="77777777" w:rsidR="005C26F9" w:rsidRPr="005C26F9" w:rsidRDefault="005C26F9" w:rsidP="005C2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0.479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2A410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CC8B6" w14:textId="77777777" w:rsidR="005C26F9" w:rsidRPr="005C26F9" w:rsidRDefault="005C26F9" w:rsidP="005C2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0.968</w:t>
            </w:r>
          </w:p>
        </w:tc>
      </w:tr>
      <w:tr w:rsidR="005C26F9" w:rsidRPr="005C26F9" w14:paraId="1552B8EA" w14:textId="77777777" w:rsidTr="005C26F9">
        <w:trPr>
          <w:trHeight w:val="34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9A1F5" w14:textId="77777777" w:rsidR="005C26F9" w:rsidRPr="005C26F9" w:rsidRDefault="005C26F9" w:rsidP="005C2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HKC_WC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71841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A7750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0.295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02216" w14:textId="77777777" w:rsidR="005C26F9" w:rsidRPr="005C26F9" w:rsidRDefault="005C26F9" w:rsidP="005C2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0.412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880A9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C7EA0" w14:textId="77777777" w:rsidR="005C26F9" w:rsidRPr="005C26F9" w:rsidRDefault="005C26F9" w:rsidP="005C2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1.566</w:t>
            </w:r>
          </w:p>
        </w:tc>
      </w:tr>
      <w:tr w:rsidR="005C26F9" w:rsidRPr="005C26F9" w14:paraId="3A04010F" w14:textId="77777777" w:rsidTr="005C26F9">
        <w:trPr>
          <w:trHeight w:val="342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C94FE" w14:textId="77777777" w:rsidR="005C26F9" w:rsidRPr="005C26F9" w:rsidRDefault="005C26F9" w:rsidP="005C2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HKP_WC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C9FA7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0.603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5992B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0.139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1D5BF" w14:textId="77777777" w:rsidR="005C26F9" w:rsidRPr="005C26F9" w:rsidRDefault="005C26F9" w:rsidP="005C2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0.381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1D308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9C128" w14:textId="77777777" w:rsidR="005C26F9" w:rsidRPr="005C26F9" w:rsidRDefault="005C26F9" w:rsidP="005C2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0.923</w:t>
            </w:r>
          </w:p>
        </w:tc>
      </w:tr>
      <w:tr w:rsidR="005C26F9" w:rsidRPr="005C26F9" w14:paraId="7908FF46" w14:textId="77777777" w:rsidTr="005C26F9">
        <w:trPr>
          <w:trHeight w:val="342"/>
        </w:trPr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A97B02" w14:textId="77777777" w:rsidR="005C26F9" w:rsidRPr="005C26F9" w:rsidRDefault="005C26F9" w:rsidP="005C2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HKP_WC (Excl. 2013)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E0DE68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11E16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0.178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C17D1" w14:textId="77777777" w:rsidR="005C26F9" w:rsidRPr="005C26F9" w:rsidRDefault="005C26F9" w:rsidP="005C2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0.524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AA75B" w14:textId="77777777" w:rsidR="005C26F9" w:rsidRPr="005C26F9" w:rsidRDefault="005C26F9" w:rsidP="005C2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3469E" w14:textId="77777777" w:rsidR="005C26F9" w:rsidRPr="005C26F9" w:rsidRDefault="005C26F9" w:rsidP="005C2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ZA" w:eastAsia="en-ZA"/>
              </w:rPr>
            </w:pPr>
            <w:r w:rsidRPr="005C26F9">
              <w:rPr>
                <w:rFonts w:ascii="Calibri" w:eastAsia="Times New Roman" w:hAnsi="Calibri" w:cs="Times New Roman"/>
                <w:color w:val="000000"/>
                <w:lang w:val="en-ZA" w:eastAsia="en-ZA"/>
              </w:rPr>
              <w:t>1.218</w:t>
            </w:r>
          </w:p>
        </w:tc>
      </w:tr>
    </w:tbl>
    <w:p w14:paraId="69362580" w14:textId="77777777" w:rsidR="00F92E46" w:rsidRDefault="00F92E46"/>
    <w:p w14:paraId="5D49901E" w14:textId="77777777" w:rsidR="00F92E46" w:rsidRDefault="00F92E46">
      <w:r>
        <w:br w:type="page"/>
      </w:r>
    </w:p>
    <w:p w14:paraId="6A2AA8F6" w14:textId="77777777" w:rsidR="00D267AF" w:rsidRDefault="00D267AF" w:rsidP="00921D89">
      <w:pPr>
        <w:spacing w:after="0" w:line="360" w:lineRule="auto"/>
        <w:rPr>
          <w:b/>
        </w:rPr>
      </w:pPr>
    </w:p>
    <w:p w14:paraId="01A0CBF3" w14:textId="77777777" w:rsidR="00D267AF" w:rsidRDefault="00D267AF" w:rsidP="00921D89">
      <w:pPr>
        <w:spacing w:after="0" w:line="360" w:lineRule="auto"/>
        <w:rPr>
          <w:b/>
        </w:rPr>
      </w:pPr>
    </w:p>
    <w:p w14:paraId="10BCCFF2" w14:textId="77777777" w:rsidR="005B1DD8" w:rsidRPr="006A2CCD" w:rsidRDefault="005B1DD8" w:rsidP="005B1DD8">
      <w:pPr>
        <w:spacing w:after="0" w:line="240" w:lineRule="auto"/>
        <w:rPr>
          <w:b/>
        </w:rPr>
      </w:pPr>
    </w:p>
    <w:p w14:paraId="36821FE7" w14:textId="77777777" w:rsidR="005B1DD8" w:rsidRDefault="005B1DD8" w:rsidP="005B1DD8">
      <w:pPr>
        <w:spacing w:after="0" w:line="240" w:lineRule="auto"/>
      </w:pPr>
      <w:r>
        <w:rPr>
          <w:noProof/>
        </w:rPr>
        <w:drawing>
          <wp:inline distT="0" distB="0" distL="0" distR="0" wp14:anchorId="709DD4D3" wp14:editId="71FA9EA8">
            <wp:extent cx="5731510" cy="1910080"/>
            <wp:effectExtent l="0" t="0" r="2540" b="0"/>
            <wp:docPr id="1" name="Picture 1" descr="C:\Work\Research\DemSurvey\Est_q\HKC_SC\q_ref_CPUEavg\scaleq_HKC_SC_q_r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ork\Research\DemSurvey\Est_q\HKC_SC\q_ref_CPUEavg\scaleq_HKC_SC_q_re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EAD9C" w14:textId="77777777" w:rsidR="005B1DD8" w:rsidRDefault="005B1DD8" w:rsidP="005B1DD8">
      <w:pPr>
        <w:spacing w:after="0" w:line="240" w:lineRule="auto"/>
        <w:rPr>
          <w:bCs/>
        </w:rPr>
      </w:pPr>
      <w:r>
        <w:rPr>
          <w:b/>
        </w:rPr>
        <w:t>Fig. 1.</w:t>
      </w:r>
      <w:r w:rsidRPr="00856DED">
        <w:t xml:space="preserve"> a)</w:t>
      </w:r>
      <w:r>
        <w:rPr>
          <w:b/>
        </w:rPr>
        <w:t xml:space="preserve"> </w:t>
      </w:r>
      <w:r>
        <w:rPr>
          <w:bCs/>
        </w:rPr>
        <w:t>Geostatistical south coast</w:t>
      </w:r>
      <w:r w:rsidRPr="001427D1">
        <w:rPr>
          <w:bCs/>
        </w:rPr>
        <w:t xml:space="preserve"> survey biomass indices</w:t>
      </w:r>
      <w:r>
        <w:rPr>
          <w:bCs/>
        </w:rPr>
        <w:t xml:space="preserve"> and standard errors for </w:t>
      </w:r>
      <w:r>
        <w:rPr>
          <w:bCs/>
          <w:i/>
        </w:rPr>
        <w:t xml:space="preserve">M. </w:t>
      </w:r>
      <w:proofErr w:type="spellStart"/>
      <w:r>
        <w:rPr>
          <w:bCs/>
          <w:i/>
        </w:rPr>
        <w:t>capensis</w:t>
      </w:r>
      <w:proofErr w:type="spellEnd"/>
      <w:r>
        <w:rPr>
          <w:bCs/>
          <w:i/>
        </w:rPr>
        <w:t xml:space="preserve">; </w:t>
      </w:r>
      <w:r>
        <w:rPr>
          <w:bCs/>
        </w:rPr>
        <w:t xml:space="preserve">b) model-predicted abundance trend (solid line) and 95% CIs (shaded area) based on catchability </w:t>
      </w:r>
      <w:r w:rsidRPr="00856DED">
        <w:rPr>
          <w:bCs/>
          <w:i/>
        </w:rPr>
        <w:t>q</w:t>
      </w:r>
      <w:r>
        <w:rPr>
          <w:bCs/>
        </w:rPr>
        <w:t xml:space="preserve"> </w:t>
      </w:r>
      <w:r w:rsidRPr="00856DED">
        <w:rPr>
          <w:bCs/>
        </w:rPr>
        <w:t>es</w:t>
      </w:r>
      <w:r>
        <w:rPr>
          <w:bCs/>
        </w:rPr>
        <w:t xml:space="preserve">timates for RV Africana old gear (OG, </w:t>
      </w:r>
      <w:r w:rsidRPr="00856DED">
        <w:rPr>
          <w:bCs/>
          <w:i/>
        </w:rPr>
        <w:t>q</w:t>
      </w:r>
      <w:r>
        <w:rPr>
          <w:bCs/>
        </w:rPr>
        <w:t xml:space="preserve">=1), new gear (NG) and commercial vessels (Com); and c) posteriors of ratios of Old Gear to New Gear and Commercial Vessels to New Gear, with numbers denoting the median values.  </w:t>
      </w:r>
      <w:r>
        <w:rPr>
          <w:bCs/>
          <w:i/>
        </w:rPr>
        <w:t xml:space="preserve"> </w:t>
      </w:r>
      <w:r>
        <w:rPr>
          <w:bCs/>
        </w:rPr>
        <w:t xml:space="preserve">  </w:t>
      </w:r>
    </w:p>
    <w:p w14:paraId="0326FCD0" w14:textId="77777777" w:rsidR="00856DED" w:rsidRDefault="00856DED" w:rsidP="00921D89">
      <w:pPr>
        <w:spacing w:after="0" w:line="240" w:lineRule="auto"/>
        <w:rPr>
          <w:b/>
        </w:rPr>
      </w:pPr>
    </w:p>
    <w:p w14:paraId="09BD6173" w14:textId="77777777" w:rsidR="005B1DD8" w:rsidRDefault="005B1DD8" w:rsidP="00921D89">
      <w:pPr>
        <w:spacing w:after="0" w:line="240" w:lineRule="auto"/>
        <w:rPr>
          <w:b/>
        </w:rPr>
      </w:pPr>
    </w:p>
    <w:p w14:paraId="415040DC" w14:textId="77777777" w:rsidR="005B1DD8" w:rsidRDefault="005B1DD8" w:rsidP="00921D89">
      <w:pPr>
        <w:spacing w:after="0" w:line="240" w:lineRule="auto"/>
        <w:rPr>
          <w:b/>
        </w:rPr>
      </w:pPr>
    </w:p>
    <w:p w14:paraId="3ED51EB7" w14:textId="77777777" w:rsidR="005B1DD8" w:rsidRDefault="005B1DD8" w:rsidP="00921D89">
      <w:pPr>
        <w:spacing w:after="0" w:line="240" w:lineRule="auto"/>
        <w:rPr>
          <w:b/>
        </w:rPr>
      </w:pPr>
    </w:p>
    <w:p w14:paraId="11082521" w14:textId="43F30ECB" w:rsidR="00856DED" w:rsidRDefault="00856DED" w:rsidP="00921D89">
      <w:pPr>
        <w:spacing w:after="0" w:line="240" w:lineRule="auto"/>
        <w:rPr>
          <w:b/>
        </w:rPr>
      </w:pPr>
    </w:p>
    <w:p w14:paraId="008523E1" w14:textId="571759F9" w:rsidR="00856DED" w:rsidRDefault="00856DED" w:rsidP="00921D89">
      <w:pPr>
        <w:spacing w:after="0" w:line="240" w:lineRule="auto"/>
        <w:rPr>
          <w:b/>
        </w:rPr>
      </w:pPr>
      <w:r>
        <w:rPr>
          <w:b/>
        </w:rPr>
        <w:t>Fig</w:t>
      </w:r>
      <w:r w:rsidR="005B1DD8">
        <w:rPr>
          <w:b/>
        </w:rPr>
        <w:t>. 2</w:t>
      </w:r>
      <w:r>
        <w:rPr>
          <w:b/>
        </w:rPr>
        <w:t>.</w:t>
      </w:r>
      <w:r w:rsidRPr="00856DED">
        <w:t xml:space="preserve"> a)</w:t>
      </w:r>
      <w:r>
        <w:rPr>
          <w:b/>
        </w:rPr>
        <w:t xml:space="preserve"> </w:t>
      </w:r>
      <w:r>
        <w:rPr>
          <w:bCs/>
        </w:rPr>
        <w:t>G</w:t>
      </w:r>
      <w:r w:rsidRPr="001427D1">
        <w:rPr>
          <w:bCs/>
        </w:rPr>
        <w:t xml:space="preserve">eostatistical </w:t>
      </w:r>
      <w:r w:rsidR="00726B23">
        <w:rPr>
          <w:bCs/>
        </w:rPr>
        <w:t>w</w:t>
      </w:r>
      <w:r w:rsidR="0078192C">
        <w:rPr>
          <w:b/>
          <w:noProof/>
        </w:rPr>
        <w:drawing>
          <wp:inline distT="0" distB="0" distL="0" distR="0" wp14:anchorId="35E37A20" wp14:editId="0D6CC34A">
            <wp:extent cx="5731510" cy="1910080"/>
            <wp:effectExtent l="0" t="0" r="2540" b="0"/>
            <wp:docPr id="2" name="Picture 2" descr="C:\Work\Research\DemSurvey\Est_q\HKC_WC\q_ref_CPUEavg\scaleq_HKC_WC_q_r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C:\Work\Research\DemSurvey\Est_q\HKC_WC\q_ref_CPUEavg\scaleq_HKC_WC_q_re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726B23">
        <w:rPr>
          <w:bCs/>
        </w:rPr>
        <w:t>est</w:t>
      </w:r>
      <w:proofErr w:type="spellEnd"/>
      <w:r w:rsidR="00726B23">
        <w:rPr>
          <w:bCs/>
        </w:rPr>
        <w:t xml:space="preserve"> coast</w:t>
      </w:r>
      <w:r w:rsidRPr="001427D1">
        <w:rPr>
          <w:bCs/>
        </w:rPr>
        <w:t xml:space="preserve"> survey biomass indices</w:t>
      </w:r>
      <w:r>
        <w:rPr>
          <w:bCs/>
        </w:rPr>
        <w:t xml:space="preserve"> and standard errors for </w:t>
      </w:r>
      <w:r>
        <w:rPr>
          <w:bCs/>
          <w:i/>
        </w:rPr>
        <w:t xml:space="preserve">M. </w:t>
      </w:r>
      <w:proofErr w:type="spellStart"/>
      <w:r>
        <w:rPr>
          <w:bCs/>
          <w:i/>
        </w:rPr>
        <w:t>capensis</w:t>
      </w:r>
      <w:proofErr w:type="spellEnd"/>
      <w:r w:rsidR="00726B23">
        <w:rPr>
          <w:bCs/>
          <w:i/>
        </w:rPr>
        <w:t>;</w:t>
      </w:r>
      <w:r>
        <w:rPr>
          <w:bCs/>
          <w:i/>
        </w:rPr>
        <w:t xml:space="preserve"> </w:t>
      </w:r>
      <w:r>
        <w:rPr>
          <w:bCs/>
        </w:rPr>
        <w:t xml:space="preserve">b) </w:t>
      </w:r>
      <w:r w:rsidR="00726B23">
        <w:rPr>
          <w:bCs/>
        </w:rPr>
        <w:t>m</w:t>
      </w:r>
      <w:r>
        <w:rPr>
          <w:bCs/>
        </w:rPr>
        <w:t xml:space="preserve">odel-predicted abundance trend (solid line) and 95% CIs (shaded area) based on catchability </w:t>
      </w:r>
      <w:r w:rsidRPr="00856DED">
        <w:rPr>
          <w:bCs/>
          <w:i/>
        </w:rPr>
        <w:t>q</w:t>
      </w:r>
      <w:r>
        <w:rPr>
          <w:bCs/>
        </w:rPr>
        <w:t xml:space="preserve"> </w:t>
      </w:r>
      <w:r w:rsidRPr="00856DED">
        <w:rPr>
          <w:bCs/>
        </w:rPr>
        <w:t>es</w:t>
      </w:r>
      <w:r>
        <w:rPr>
          <w:bCs/>
        </w:rPr>
        <w:t xml:space="preserve">timates for RV Africana old gear (OG, </w:t>
      </w:r>
      <w:r w:rsidRPr="00856DED">
        <w:rPr>
          <w:bCs/>
          <w:i/>
        </w:rPr>
        <w:t>q</w:t>
      </w:r>
      <w:r>
        <w:rPr>
          <w:bCs/>
        </w:rPr>
        <w:t>=1), new gear (NG) and commercial vessels (Com); and c) posteriors of ratios</w:t>
      </w:r>
      <w:r w:rsidR="00726B23">
        <w:rPr>
          <w:bCs/>
        </w:rPr>
        <w:t xml:space="preserve"> of</w:t>
      </w:r>
      <w:r>
        <w:rPr>
          <w:bCs/>
        </w:rPr>
        <w:t xml:space="preserve"> </w:t>
      </w:r>
      <w:r w:rsidR="00726B23">
        <w:rPr>
          <w:bCs/>
        </w:rPr>
        <w:t>Old Gear to New Gear and Commercial Vessels to New Gear, with numbers denoting the median values.</w:t>
      </w:r>
      <w:r>
        <w:rPr>
          <w:bCs/>
        </w:rPr>
        <w:t xml:space="preserve">  </w:t>
      </w:r>
      <w:r>
        <w:rPr>
          <w:bCs/>
          <w:i/>
        </w:rPr>
        <w:t xml:space="preserve"> </w:t>
      </w:r>
      <w:r>
        <w:rPr>
          <w:bCs/>
        </w:rPr>
        <w:t xml:space="preserve">  </w:t>
      </w:r>
    </w:p>
    <w:p w14:paraId="0EBE2DC2" w14:textId="77777777" w:rsidR="00856DED" w:rsidRDefault="00856DED" w:rsidP="00921D89">
      <w:pPr>
        <w:spacing w:after="0" w:line="240" w:lineRule="auto"/>
        <w:rPr>
          <w:b/>
        </w:rPr>
      </w:pPr>
    </w:p>
    <w:p w14:paraId="30EE15BD" w14:textId="77777777" w:rsidR="00921D89" w:rsidRDefault="00921D89" w:rsidP="00921D89">
      <w:pPr>
        <w:spacing w:after="0" w:line="240" w:lineRule="auto"/>
        <w:rPr>
          <w:b/>
        </w:rPr>
      </w:pPr>
    </w:p>
    <w:p w14:paraId="38C4C3B9" w14:textId="77777777" w:rsidR="00921D89" w:rsidRDefault="00921D89" w:rsidP="00921D89">
      <w:pPr>
        <w:spacing w:after="0" w:line="240" w:lineRule="auto"/>
        <w:rPr>
          <w:b/>
        </w:rPr>
      </w:pPr>
    </w:p>
    <w:p w14:paraId="6F955A0C" w14:textId="77777777" w:rsidR="00936526" w:rsidRDefault="00936526" w:rsidP="00921D89">
      <w:pPr>
        <w:spacing w:after="0" w:line="240" w:lineRule="auto"/>
        <w:rPr>
          <w:b/>
        </w:rPr>
      </w:pPr>
    </w:p>
    <w:p w14:paraId="4FAC6B9B" w14:textId="77777777" w:rsidR="00921D89" w:rsidRDefault="00921D89">
      <w:pPr>
        <w:rPr>
          <w:rFonts w:ascii="Calibri" w:eastAsia="Times New Roman" w:hAnsi="Calibri" w:cs="Times New Roman"/>
          <w:color w:val="000000"/>
          <w:lang w:val="en-ZA" w:eastAsia="en-ZA"/>
        </w:rPr>
      </w:pPr>
      <w:r>
        <w:rPr>
          <w:rFonts w:ascii="Calibri" w:eastAsia="Times New Roman" w:hAnsi="Calibri" w:cs="Times New Roman"/>
          <w:color w:val="000000"/>
          <w:lang w:val="en-ZA" w:eastAsia="en-ZA"/>
        </w:rPr>
        <w:br w:type="page"/>
      </w:r>
    </w:p>
    <w:p w14:paraId="24A8ECDB" w14:textId="77777777" w:rsidR="00C86A4C" w:rsidRDefault="00C86A4C" w:rsidP="00921D89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en-ZA"/>
        </w:rPr>
      </w:pPr>
    </w:p>
    <w:p w14:paraId="7F935556" w14:textId="77777777" w:rsidR="00921D89" w:rsidRDefault="00921D89" w:rsidP="00921D89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en-ZA"/>
        </w:rPr>
      </w:pPr>
    </w:p>
    <w:p w14:paraId="523DC4E5" w14:textId="77777777" w:rsidR="00726B23" w:rsidRDefault="00936526" w:rsidP="00921D89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en-ZA"/>
        </w:rPr>
      </w:pPr>
      <w:r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 wp14:anchorId="13664049" wp14:editId="54BCFDEB">
            <wp:extent cx="5731510" cy="1910503"/>
            <wp:effectExtent l="0" t="0" r="2540" b="0"/>
            <wp:docPr id="3" name="Picture 3" descr="C:\Work\Research\DemSurvey\Est_q\HKP_WC\q_ref_CPUEavg\scaleq_HKP_WC_q_r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C:\Work\Research\DemSurvey\Est_q\HKP_WC\q_ref_CPUEavg\scaleq_HKP_WC_q_re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75A63" w14:textId="77777777" w:rsidR="00726B23" w:rsidRDefault="00726B23" w:rsidP="00921D89">
      <w:pPr>
        <w:spacing w:after="0" w:line="240" w:lineRule="auto"/>
        <w:rPr>
          <w:bCs/>
        </w:rPr>
      </w:pPr>
      <w:r>
        <w:rPr>
          <w:b/>
          <w:bCs/>
        </w:rPr>
        <w:t xml:space="preserve">Fig. 3. </w:t>
      </w:r>
      <w:r w:rsidRPr="00726B23">
        <w:rPr>
          <w:bCs/>
        </w:rPr>
        <w:t xml:space="preserve">a) </w:t>
      </w:r>
      <w:r>
        <w:rPr>
          <w:bCs/>
        </w:rPr>
        <w:t>G</w:t>
      </w:r>
      <w:r w:rsidR="00452C9D">
        <w:rPr>
          <w:bCs/>
        </w:rPr>
        <w:t>eostatistical</w:t>
      </w:r>
      <w:r>
        <w:rPr>
          <w:bCs/>
        </w:rPr>
        <w:t xml:space="preserve"> west</w:t>
      </w:r>
      <w:r w:rsidRPr="001427D1">
        <w:rPr>
          <w:bCs/>
        </w:rPr>
        <w:t xml:space="preserve"> survey biomass indices</w:t>
      </w:r>
      <w:r>
        <w:rPr>
          <w:bCs/>
        </w:rPr>
        <w:t xml:space="preserve"> and standard errors for </w:t>
      </w:r>
      <w:r>
        <w:rPr>
          <w:bCs/>
          <w:i/>
        </w:rPr>
        <w:t xml:space="preserve">M. paradoxus; </w:t>
      </w:r>
      <w:r>
        <w:rPr>
          <w:bCs/>
        </w:rPr>
        <w:t xml:space="preserve">b) model-predicted abundance trend (solid line) and 95% CIs (shaded area) based on catchability </w:t>
      </w:r>
      <w:r w:rsidRPr="00856DED">
        <w:rPr>
          <w:bCs/>
          <w:i/>
        </w:rPr>
        <w:t>q</w:t>
      </w:r>
      <w:r>
        <w:rPr>
          <w:bCs/>
        </w:rPr>
        <w:t xml:space="preserve"> </w:t>
      </w:r>
      <w:r w:rsidRPr="00856DED">
        <w:rPr>
          <w:bCs/>
        </w:rPr>
        <w:t>es</w:t>
      </w:r>
      <w:r>
        <w:rPr>
          <w:bCs/>
        </w:rPr>
        <w:t xml:space="preserve">timates for RV Africana old gear (OG, </w:t>
      </w:r>
      <w:r w:rsidRPr="00856DED">
        <w:rPr>
          <w:bCs/>
          <w:i/>
        </w:rPr>
        <w:t>q</w:t>
      </w:r>
      <w:r>
        <w:rPr>
          <w:bCs/>
        </w:rPr>
        <w:t>=1), new gear (NG) and commercial vessels (Com); and c) posteriors of ratios of Old Gear to New Gear and Commercial Vessels to New Gear, with numbers denoting the median values.</w:t>
      </w:r>
    </w:p>
    <w:p w14:paraId="63134F98" w14:textId="77777777" w:rsidR="00452C9D" w:rsidRDefault="00452C9D" w:rsidP="00921D89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en-ZA"/>
        </w:rPr>
      </w:pPr>
    </w:p>
    <w:p w14:paraId="76E16CEE" w14:textId="77777777" w:rsidR="00921D89" w:rsidRDefault="00921D89" w:rsidP="00921D89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en-ZA"/>
        </w:rPr>
      </w:pPr>
    </w:p>
    <w:p w14:paraId="411CEA2F" w14:textId="77777777" w:rsidR="00921D89" w:rsidRDefault="00921D89" w:rsidP="00921D89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en-ZA"/>
        </w:rPr>
      </w:pPr>
    </w:p>
    <w:p w14:paraId="0D50F381" w14:textId="77777777" w:rsidR="00726B23" w:rsidRDefault="00726B23" w:rsidP="00921D89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en-ZA"/>
        </w:rPr>
      </w:pPr>
    </w:p>
    <w:p w14:paraId="759A5AF3" w14:textId="77777777" w:rsidR="00C86A4C" w:rsidRDefault="00452C9D" w:rsidP="00921D89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en-ZA"/>
        </w:rPr>
      </w:pPr>
      <w:r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 wp14:anchorId="7166128F" wp14:editId="73E2F141">
            <wp:extent cx="5731510" cy="1910503"/>
            <wp:effectExtent l="0" t="0" r="2540" b="0"/>
            <wp:docPr id="4" name="Picture 4" descr="C:\Work\Research\DemSurvey\Est_q\HKP_WC\q_excl2013_CPUEavg\scaleq_HKP_WC_q_excl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C:\Work\Research\DemSurvey\Est_q\HKP_WC\q_excl2013_CPUEavg\scaleq_HKP_WC_q_excl201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1A3B" w14:textId="77777777" w:rsidR="00452C9D" w:rsidRDefault="00176126" w:rsidP="00921D89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en-ZA"/>
        </w:rPr>
      </w:pPr>
      <w:r>
        <w:rPr>
          <w:b/>
          <w:bCs/>
        </w:rPr>
        <w:t>Fig. 4</w:t>
      </w:r>
      <w:r w:rsidR="00452C9D">
        <w:rPr>
          <w:b/>
          <w:bCs/>
        </w:rPr>
        <w:t xml:space="preserve">. </w:t>
      </w:r>
      <w:r w:rsidR="00452C9D" w:rsidRPr="00726B23">
        <w:rPr>
          <w:bCs/>
        </w:rPr>
        <w:t xml:space="preserve">a) </w:t>
      </w:r>
      <w:r w:rsidR="00452C9D">
        <w:rPr>
          <w:bCs/>
        </w:rPr>
        <w:t>Geostatistical west</w:t>
      </w:r>
      <w:r w:rsidR="00452C9D" w:rsidRPr="001427D1">
        <w:rPr>
          <w:bCs/>
        </w:rPr>
        <w:t xml:space="preserve"> survey biomass indices</w:t>
      </w:r>
      <w:r w:rsidR="00452C9D">
        <w:rPr>
          <w:bCs/>
        </w:rPr>
        <w:t xml:space="preserve"> and standard errors for </w:t>
      </w:r>
      <w:r w:rsidR="00452C9D">
        <w:rPr>
          <w:bCs/>
          <w:i/>
        </w:rPr>
        <w:t>M. paradoxus</w:t>
      </w:r>
      <w:r w:rsidR="00452C9D">
        <w:rPr>
          <w:bCs/>
        </w:rPr>
        <w:t>, but excluding the first commercial vessel survey year 2013</w:t>
      </w:r>
      <w:r w:rsidR="00452C9D">
        <w:rPr>
          <w:bCs/>
          <w:i/>
        </w:rPr>
        <w:t xml:space="preserve">; </w:t>
      </w:r>
      <w:r w:rsidR="00452C9D">
        <w:rPr>
          <w:bCs/>
        </w:rPr>
        <w:t xml:space="preserve">b) model-predicted abundance trend (solid line) and 95% CIs (shaded area) based on catchability </w:t>
      </w:r>
      <w:r w:rsidR="00452C9D" w:rsidRPr="00856DED">
        <w:rPr>
          <w:bCs/>
          <w:i/>
        </w:rPr>
        <w:t>q</w:t>
      </w:r>
      <w:r w:rsidR="00452C9D">
        <w:rPr>
          <w:bCs/>
        </w:rPr>
        <w:t xml:space="preserve"> </w:t>
      </w:r>
      <w:r w:rsidR="00452C9D" w:rsidRPr="00856DED">
        <w:rPr>
          <w:bCs/>
        </w:rPr>
        <w:t>es</w:t>
      </w:r>
      <w:r w:rsidR="00452C9D">
        <w:rPr>
          <w:bCs/>
        </w:rPr>
        <w:t xml:space="preserve">timates for RV Africana old gear (OG, </w:t>
      </w:r>
      <w:r w:rsidR="00452C9D" w:rsidRPr="00856DED">
        <w:rPr>
          <w:bCs/>
          <w:i/>
        </w:rPr>
        <w:t>q</w:t>
      </w:r>
      <w:r w:rsidR="00452C9D">
        <w:rPr>
          <w:bCs/>
        </w:rPr>
        <w:t>=1), new gear (NG) and commercial vessels (Com); and c) posteriors of ratios of Old Gear to New Gear and Commercial Vessels to New Gear, with numbers denoting the median values.</w:t>
      </w:r>
    </w:p>
    <w:p w14:paraId="421B304F" w14:textId="77777777" w:rsidR="00452C9D" w:rsidRDefault="00452C9D" w:rsidP="00921D89">
      <w:pPr>
        <w:spacing w:after="0" w:line="360" w:lineRule="auto"/>
        <w:rPr>
          <w:rFonts w:ascii="Calibri" w:eastAsia="Times New Roman" w:hAnsi="Calibri" w:cs="Times New Roman"/>
          <w:color w:val="000000"/>
          <w:lang w:val="en-ZA" w:eastAsia="en-ZA"/>
        </w:rPr>
      </w:pPr>
    </w:p>
    <w:p w14:paraId="28192F9A" w14:textId="77777777" w:rsidR="00C86A4C" w:rsidRDefault="00C86A4C" w:rsidP="00921D89">
      <w:pPr>
        <w:spacing w:after="0" w:line="360" w:lineRule="auto"/>
        <w:rPr>
          <w:rFonts w:ascii="Calibri" w:eastAsia="Times New Roman" w:hAnsi="Calibri" w:cs="Times New Roman"/>
          <w:color w:val="000000"/>
          <w:lang w:val="en-ZA" w:eastAsia="en-ZA"/>
        </w:rPr>
      </w:pPr>
    </w:p>
    <w:p w14:paraId="6943E5CF" w14:textId="77777777" w:rsidR="00C86A4C" w:rsidRDefault="00C86A4C" w:rsidP="00921D89">
      <w:pPr>
        <w:spacing w:after="0" w:line="360" w:lineRule="auto"/>
        <w:rPr>
          <w:rFonts w:ascii="Calibri" w:eastAsia="Times New Roman" w:hAnsi="Calibri" w:cs="Times New Roman"/>
          <w:color w:val="000000"/>
          <w:lang w:val="en-ZA" w:eastAsia="en-ZA"/>
        </w:rPr>
      </w:pPr>
    </w:p>
    <w:p w14:paraId="6CD41F3F" w14:textId="77777777" w:rsidR="00C86A4C" w:rsidRDefault="00C86A4C" w:rsidP="00921D89">
      <w:pPr>
        <w:spacing w:after="0" w:line="360" w:lineRule="auto"/>
        <w:rPr>
          <w:rFonts w:ascii="Calibri" w:eastAsia="Times New Roman" w:hAnsi="Calibri" w:cs="Times New Roman"/>
          <w:color w:val="000000"/>
          <w:lang w:val="en-ZA" w:eastAsia="en-ZA"/>
        </w:rPr>
      </w:pPr>
    </w:p>
    <w:p w14:paraId="20BFA70E" w14:textId="77777777" w:rsidR="005E336C" w:rsidRPr="005E336C" w:rsidRDefault="005E336C" w:rsidP="00921D89">
      <w:pPr>
        <w:spacing w:line="360" w:lineRule="auto"/>
      </w:pPr>
    </w:p>
    <w:sectPr w:rsidR="005E336C" w:rsidRPr="005E336C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1BD3" w14:textId="77777777" w:rsidR="00F456A6" w:rsidRDefault="00F456A6" w:rsidP="001427D1">
      <w:pPr>
        <w:spacing w:after="0" w:line="240" w:lineRule="auto"/>
      </w:pPr>
      <w:r>
        <w:separator/>
      </w:r>
    </w:p>
  </w:endnote>
  <w:endnote w:type="continuationSeparator" w:id="0">
    <w:p w14:paraId="44282C7C" w14:textId="77777777" w:rsidR="00F456A6" w:rsidRDefault="00F456A6" w:rsidP="0014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390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8430C" w14:textId="77777777" w:rsidR="00713199" w:rsidRDefault="007131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C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B117CD" w14:textId="77777777" w:rsidR="00713199" w:rsidRDefault="00713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90A0A" w14:textId="77777777" w:rsidR="00F456A6" w:rsidRDefault="00F456A6" w:rsidP="001427D1">
      <w:pPr>
        <w:spacing w:after="0" w:line="240" w:lineRule="auto"/>
      </w:pPr>
      <w:r>
        <w:separator/>
      </w:r>
    </w:p>
  </w:footnote>
  <w:footnote w:type="continuationSeparator" w:id="0">
    <w:p w14:paraId="77A1049F" w14:textId="77777777" w:rsidR="00F456A6" w:rsidRDefault="00F456A6" w:rsidP="0014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DB225" w14:textId="5DFFEB89" w:rsidR="00064C91" w:rsidRDefault="00064C91" w:rsidP="00064C91">
    <w:pPr>
      <w:pStyle w:val="Header"/>
      <w:jc w:val="right"/>
    </w:pPr>
    <w:r>
      <w:t>FISHERIES/2018/SEP/SWG-DEM/45</w:t>
    </w:r>
    <w:r w:rsidR="0094588D">
      <w:tab/>
    </w:r>
    <w:r w:rsidR="0094588D">
      <w:tab/>
      <w:t xml:space="preserve"> MARAM/IWS/2018/Hake/BG5</w:t>
    </w:r>
  </w:p>
  <w:p w14:paraId="6C483AF6" w14:textId="77777777" w:rsidR="00064C91" w:rsidRDefault="00064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E6989"/>
    <w:multiLevelType w:val="hybridMultilevel"/>
    <w:tmpl w:val="2236D054"/>
    <w:lvl w:ilvl="0" w:tplc="D460E40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1353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27CAE"/>
    <w:multiLevelType w:val="hybridMultilevel"/>
    <w:tmpl w:val="BB3A56B2"/>
    <w:lvl w:ilvl="0" w:tplc="FC283E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6C"/>
    <w:rsid w:val="00012D59"/>
    <w:rsid w:val="00021203"/>
    <w:rsid w:val="00064C91"/>
    <w:rsid w:val="00076340"/>
    <w:rsid w:val="000E211B"/>
    <w:rsid w:val="000F5448"/>
    <w:rsid w:val="00106EAD"/>
    <w:rsid w:val="00140843"/>
    <w:rsid w:val="001427D1"/>
    <w:rsid w:val="00172671"/>
    <w:rsid w:val="00176126"/>
    <w:rsid w:val="001C4EFC"/>
    <w:rsid w:val="001E4D7A"/>
    <w:rsid w:val="002423C9"/>
    <w:rsid w:val="002838E1"/>
    <w:rsid w:val="002A50D1"/>
    <w:rsid w:val="002B00D7"/>
    <w:rsid w:val="003076A7"/>
    <w:rsid w:val="003821A4"/>
    <w:rsid w:val="003C2974"/>
    <w:rsid w:val="004041AD"/>
    <w:rsid w:val="00451792"/>
    <w:rsid w:val="00452C9D"/>
    <w:rsid w:val="004D29BE"/>
    <w:rsid w:val="0054710B"/>
    <w:rsid w:val="00547910"/>
    <w:rsid w:val="005B1DD8"/>
    <w:rsid w:val="005C26F9"/>
    <w:rsid w:val="005D09D0"/>
    <w:rsid w:val="005E336C"/>
    <w:rsid w:val="0064024C"/>
    <w:rsid w:val="00640CBD"/>
    <w:rsid w:val="006A2CCD"/>
    <w:rsid w:val="006D25AC"/>
    <w:rsid w:val="006D487A"/>
    <w:rsid w:val="006E0127"/>
    <w:rsid w:val="00713199"/>
    <w:rsid w:val="00716C91"/>
    <w:rsid w:val="00726B23"/>
    <w:rsid w:val="0078192C"/>
    <w:rsid w:val="007A2C18"/>
    <w:rsid w:val="007B2522"/>
    <w:rsid w:val="007B6235"/>
    <w:rsid w:val="00856DED"/>
    <w:rsid w:val="00900FD8"/>
    <w:rsid w:val="00921D89"/>
    <w:rsid w:val="00936526"/>
    <w:rsid w:val="0094588D"/>
    <w:rsid w:val="00971A7F"/>
    <w:rsid w:val="009C33A2"/>
    <w:rsid w:val="00A24416"/>
    <w:rsid w:val="00AB736A"/>
    <w:rsid w:val="00B24320"/>
    <w:rsid w:val="00B3455F"/>
    <w:rsid w:val="00BE0ABB"/>
    <w:rsid w:val="00BF6C73"/>
    <w:rsid w:val="00C348F6"/>
    <w:rsid w:val="00C41D37"/>
    <w:rsid w:val="00C670FE"/>
    <w:rsid w:val="00C86A4C"/>
    <w:rsid w:val="00CC5A74"/>
    <w:rsid w:val="00D267AF"/>
    <w:rsid w:val="00D32D1D"/>
    <w:rsid w:val="00D9270C"/>
    <w:rsid w:val="00DE759B"/>
    <w:rsid w:val="00ED60F3"/>
    <w:rsid w:val="00F028FB"/>
    <w:rsid w:val="00F456A6"/>
    <w:rsid w:val="00F87618"/>
    <w:rsid w:val="00F9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235422"/>
  <w15:docId w15:val="{6849C45C-8655-4B11-BB7F-F8928155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36C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E336C"/>
    <w:pPr>
      <w:spacing w:before="40" w:line="259" w:lineRule="auto"/>
      <w:ind w:left="360" w:hanging="360"/>
      <w:outlineLvl w:val="2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3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33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36C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E336C"/>
    <w:rPr>
      <w:rFonts w:ascii="Times New Roman" w:eastAsiaTheme="majorEastAsia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7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7D1"/>
    <w:rPr>
      <w:lang w:val="en-US"/>
    </w:rPr>
  </w:style>
  <w:style w:type="paragraph" w:customStyle="1" w:styleId="Default">
    <w:name w:val="Default"/>
    <w:rsid w:val="00142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DE75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5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aram.uct.ac.za/maram/%20workshops/201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B163B-673E-4C4E-90EB-707D3B0E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Winker</dc:creator>
  <cp:lastModifiedBy>Melissa Jacobs</cp:lastModifiedBy>
  <cp:revision>2</cp:revision>
  <dcterms:created xsi:type="dcterms:W3CDTF">2018-11-15T11:32:00Z</dcterms:created>
  <dcterms:modified xsi:type="dcterms:W3CDTF">2018-11-15T11:32:00Z</dcterms:modified>
</cp:coreProperties>
</file>