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947" w:rsidRDefault="00680947" w:rsidP="00680947">
      <w:pPr>
        <w:jc w:val="center"/>
        <w:rPr>
          <w:b/>
          <w:sz w:val="28"/>
          <w:szCs w:val="28"/>
        </w:rPr>
      </w:pPr>
      <w:r>
        <w:rPr>
          <w:b/>
          <w:sz w:val="28"/>
          <w:szCs w:val="28"/>
        </w:rPr>
        <w:t>Responses to various panel requests</w:t>
      </w:r>
    </w:p>
    <w:p w:rsidR="00680947" w:rsidRPr="00680947" w:rsidRDefault="00680947" w:rsidP="00680947">
      <w:pPr>
        <w:jc w:val="center"/>
        <w:rPr>
          <w:b/>
        </w:rPr>
      </w:pPr>
      <w:r w:rsidRPr="00680947">
        <w:rPr>
          <w:b/>
        </w:rPr>
        <w:t>S.J. Johnston</w:t>
      </w:r>
    </w:p>
    <w:p w:rsidR="00680947" w:rsidRDefault="00680947" w:rsidP="00936CAA">
      <w:pPr>
        <w:jc w:val="both"/>
        <w:rPr>
          <w:b/>
          <w:sz w:val="28"/>
          <w:szCs w:val="28"/>
        </w:rPr>
      </w:pPr>
    </w:p>
    <w:p w:rsidR="005734B7" w:rsidRPr="00256B61" w:rsidRDefault="00256B61" w:rsidP="00936CAA">
      <w:pPr>
        <w:jc w:val="both"/>
        <w:rPr>
          <w:b/>
          <w:sz w:val="28"/>
          <w:szCs w:val="28"/>
        </w:rPr>
      </w:pPr>
      <w:r w:rsidRPr="00256B61">
        <w:rPr>
          <w:b/>
          <w:sz w:val="28"/>
          <w:szCs w:val="28"/>
        </w:rPr>
        <w:t>Projections assuming a combined S/R function</w:t>
      </w:r>
    </w:p>
    <w:p w:rsidR="00256B61" w:rsidRPr="00256B61" w:rsidRDefault="00256B61" w:rsidP="00936CAA">
      <w:pPr>
        <w:pStyle w:val="ListParagraph"/>
        <w:numPr>
          <w:ilvl w:val="0"/>
          <w:numId w:val="1"/>
        </w:numPr>
        <w:jc w:val="both"/>
        <w:rPr>
          <w:b/>
        </w:rPr>
      </w:pPr>
      <w:r w:rsidRPr="00256B61">
        <w:rPr>
          <w:b/>
        </w:rPr>
        <w:t xml:space="preserve">Looking at </w:t>
      </w:r>
      <w:proofErr w:type="spellStart"/>
      <w:r w:rsidRPr="00256B61">
        <w:rPr>
          <w:b/>
        </w:rPr>
        <w:t>Bsp</w:t>
      </w:r>
      <w:proofErr w:type="spellEnd"/>
      <w:r w:rsidRPr="00256B61">
        <w:rPr>
          <w:b/>
        </w:rPr>
        <w:t xml:space="preserve"> and recruitment values for 1970+</w:t>
      </w:r>
    </w:p>
    <w:p w:rsidR="003F7C1B" w:rsidRDefault="003F7C1B" w:rsidP="00936CAA">
      <w:pPr>
        <w:jc w:val="both"/>
      </w:pPr>
      <w:r>
        <w:t>Projections assum</w:t>
      </w:r>
      <w:r w:rsidR="00033727">
        <w:t>e</w:t>
      </w:r>
      <w:r>
        <w:t xml:space="preserve"> a S/R relationship which is determined by considering the total (i.e. combined over all five super-areas) recruitment versus total female spawning biomass. Figure 1 plots this relationship. The S/R relationship is shown by the red line and comes into play if the </w:t>
      </w:r>
      <w:proofErr w:type="spellStart"/>
      <w:r>
        <w:t>Bsp</w:t>
      </w:r>
      <w:proofErr w:type="spellEnd"/>
      <w:r>
        <w:t xml:space="preserve"> drops below the lowest level observed in 1998 of 0.0835K.</w:t>
      </w:r>
      <w:r w:rsidR="004527F7">
        <w:t xml:space="preserve"> The green line is the average of the </w:t>
      </w:r>
      <w:r w:rsidR="004527F7" w:rsidRPr="00033727">
        <w:rPr>
          <w:b/>
        </w:rPr>
        <w:t>1970</w:t>
      </w:r>
      <w:r w:rsidR="004527F7">
        <w:t>…2010 recruitment values.</w:t>
      </w:r>
    </w:p>
    <w:p w:rsidR="003F7C1B" w:rsidRDefault="003F7C1B" w:rsidP="00936CAA">
      <w:pPr>
        <w:jc w:val="both"/>
      </w:pPr>
      <w:r>
        <w:t xml:space="preserve">Each super-area is projected ahead assuming a future TAC level at the current 2019 TAC level, where future (2011+) recruitment is modelled as a function of female spawning biomass (see Figure 1). </w:t>
      </w:r>
      <w:r w:rsidRPr="00BE47ED">
        <w:t xml:space="preserve">Results are compared with the current method of drawing future recruitment at random from the set of estimated recruitment parameters </w:t>
      </w:r>
      <w:r w:rsidRPr="00033727">
        <w:rPr>
          <w:b/>
        </w:rPr>
        <w:t>R1970</w:t>
      </w:r>
      <w:r w:rsidRPr="00BE47ED">
        <w:t>…R2010</w:t>
      </w:r>
      <w:r w:rsidR="00BE47ED">
        <w:t>.</w:t>
      </w:r>
    </w:p>
    <w:p w:rsidR="003F7C1B" w:rsidRDefault="003F7C1B" w:rsidP="00936CAA">
      <w:pPr>
        <w:jc w:val="both"/>
      </w:pPr>
      <w:r>
        <w:t>Thus, for each super-area:</w:t>
      </w:r>
    </w:p>
    <w:p w:rsidR="003F7C1B" w:rsidRDefault="003F7C1B" w:rsidP="00936CAA">
      <w:pPr>
        <w:jc w:val="both"/>
      </w:pPr>
      <w:r>
        <w:t xml:space="preserve">Step 1: Generate a future recruitment estimate drawn at random with replacement from  </w:t>
      </w:r>
    </w:p>
    <w:p w:rsidR="003F7C1B" w:rsidRDefault="003F7C1B" w:rsidP="00936CAA">
      <w:pPr>
        <w:jc w:val="both"/>
      </w:pPr>
      <w:r>
        <w:t xml:space="preserve"> </w:t>
      </w:r>
      <w:r>
        <w:tab/>
      </w:r>
      <w:r w:rsidRPr="00033727">
        <w:rPr>
          <w:b/>
        </w:rPr>
        <w:t>R1970</w:t>
      </w:r>
      <w:r>
        <w:t>...R2010 (as for BC method)</w:t>
      </w:r>
    </w:p>
    <w:p w:rsidR="003F7C1B" w:rsidRDefault="003F7C1B" w:rsidP="00936CAA">
      <w:pPr>
        <w:jc w:val="both"/>
      </w:pPr>
      <w:r>
        <w:t>Step 2:</w:t>
      </w:r>
      <w:r>
        <w:tab/>
        <w:t xml:space="preserve">if </w:t>
      </w:r>
      <w:proofErr w:type="spellStart"/>
      <w:r>
        <w:t>Bsp</w:t>
      </w:r>
      <w:proofErr w:type="spellEnd"/>
      <w:r>
        <w:t>/</w:t>
      </w:r>
      <w:proofErr w:type="spellStart"/>
      <w:r>
        <w:t>Bsp</w:t>
      </w:r>
      <w:proofErr w:type="spellEnd"/>
      <w:r>
        <w:t>(K) &gt;= 0.0835</w:t>
      </w:r>
      <w:r>
        <w:tab/>
        <w:t>retain the randomly selected recruitment</w:t>
      </w:r>
    </w:p>
    <w:p w:rsidR="003F7C1B" w:rsidRDefault="003F7C1B" w:rsidP="00936CAA">
      <w:pPr>
        <w:jc w:val="both"/>
      </w:pPr>
      <w:r>
        <w:tab/>
        <w:t xml:space="preserve">If </w:t>
      </w:r>
      <w:proofErr w:type="spellStart"/>
      <w:r>
        <w:t>Bsp</w:t>
      </w:r>
      <w:proofErr w:type="spellEnd"/>
      <w:r>
        <w:t>/</w:t>
      </w:r>
      <w:proofErr w:type="spellStart"/>
      <w:r>
        <w:t>Bsp</w:t>
      </w:r>
      <w:proofErr w:type="spellEnd"/>
      <w:r>
        <w:t>(</w:t>
      </w:r>
      <w:proofErr w:type="gramStart"/>
      <w:r>
        <w:t xml:space="preserve">K)   </w:t>
      </w:r>
      <w:proofErr w:type="gramEnd"/>
      <w:r>
        <w:t xml:space="preserve">&lt; 0.0835 </w:t>
      </w:r>
      <w:r>
        <w:tab/>
        <w:t xml:space="preserve">multiply the randomly selected recruitment estimate by </w:t>
      </w:r>
      <m:oMath>
        <m:f>
          <m:fPr>
            <m:ctrlPr>
              <w:rPr>
                <w:rFonts w:ascii="Cambria Math" w:hAnsi="Cambria Math"/>
                <w:i/>
              </w:rPr>
            </m:ctrlPr>
          </m:fPr>
          <m:num>
            <m:r>
              <w:rPr>
                <w:rFonts w:ascii="Cambria Math" w:hAnsi="Cambria Math"/>
              </w:rPr>
              <m:t>Bsp/Bsp(K)</m:t>
            </m:r>
          </m:num>
          <m:den>
            <m:r>
              <w:rPr>
                <w:rFonts w:ascii="Cambria Math" w:hAnsi="Cambria Math"/>
              </w:rPr>
              <m:t>0.0835</m:t>
            </m:r>
          </m:den>
        </m:f>
      </m:oMath>
    </w:p>
    <w:p w:rsidR="00033727" w:rsidRDefault="00033727" w:rsidP="00936CAA">
      <w:pPr>
        <w:jc w:val="both"/>
        <w:rPr>
          <w:b/>
          <w:i/>
        </w:rPr>
      </w:pPr>
    </w:p>
    <w:p w:rsidR="003F7C1B" w:rsidRDefault="003F7C1B" w:rsidP="00936CAA">
      <w:pPr>
        <w:jc w:val="both"/>
        <w:rPr>
          <w:b/>
          <w:i/>
        </w:rPr>
      </w:pPr>
      <w:r w:rsidRPr="00FF039D">
        <w:rPr>
          <w:b/>
          <w:i/>
        </w:rPr>
        <w:t>Results</w:t>
      </w:r>
    </w:p>
    <w:p w:rsidR="00BE47ED" w:rsidRDefault="00BE47ED" w:rsidP="00936CAA">
      <w:pPr>
        <w:jc w:val="both"/>
      </w:pPr>
      <w:r>
        <w:t>Figures 2a-e compared the super-area projections for the BC model with those for the model which assumes a stock-recruit function</w:t>
      </w:r>
      <w:r w:rsidR="00256B61">
        <w:t xml:space="preserve"> (as shown in Figure 1)</w:t>
      </w:r>
      <w:r>
        <w:t xml:space="preserve"> for the future.</w:t>
      </w:r>
    </w:p>
    <w:p w:rsidR="00BE47ED" w:rsidRPr="00BE47ED" w:rsidRDefault="00BE47ED" w:rsidP="00936CAA">
      <w:pPr>
        <w:jc w:val="both"/>
      </w:pPr>
      <w:r>
        <w:t>Figure 3 shows the results combined over all five super-area. Thus for the total resource the following statistics apply:</w:t>
      </w:r>
    </w:p>
    <w:p w:rsidR="003F7C1B" w:rsidRPr="00BE47ED" w:rsidRDefault="003F7C1B" w:rsidP="00936CAA">
      <w:pPr>
        <w:ind w:firstLine="720"/>
        <w:jc w:val="both"/>
      </w:pPr>
      <w:r w:rsidRPr="00BE47ED">
        <w:t>B75</w:t>
      </w:r>
      <w:proofErr w:type="gramStart"/>
      <w:r w:rsidRPr="00BE47ED">
        <w:t>m(</w:t>
      </w:r>
      <w:proofErr w:type="gramEnd"/>
      <w:r w:rsidRPr="00BE47ED">
        <w:t>20</w:t>
      </w:r>
      <w:r w:rsidRPr="00BE47ED">
        <w:rPr>
          <w:b/>
        </w:rPr>
        <w:t>25</w:t>
      </w:r>
      <w:r w:rsidRPr="00BE47ED">
        <w:t>/2006): BC (no S/R relationship in future) = 1.052 [0.831; 1.337]</w:t>
      </w:r>
    </w:p>
    <w:p w:rsidR="003F7C1B" w:rsidRPr="00BE47ED" w:rsidRDefault="003F7C1B" w:rsidP="00936CAA">
      <w:pPr>
        <w:ind w:firstLine="720"/>
        <w:jc w:val="both"/>
      </w:pPr>
      <w:r w:rsidRPr="00BE47ED">
        <w:t>B75</w:t>
      </w:r>
      <w:proofErr w:type="gramStart"/>
      <w:r w:rsidRPr="00BE47ED">
        <w:t>m(</w:t>
      </w:r>
      <w:proofErr w:type="gramEnd"/>
      <w:r w:rsidRPr="00BE47ED">
        <w:t>20</w:t>
      </w:r>
      <w:r w:rsidRPr="00BE47ED">
        <w:rPr>
          <w:b/>
        </w:rPr>
        <w:t>25</w:t>
      </w:r>
      <w:r w:rsidRPr="00BE47ED">
        <w:t>/2006): With a S/R relationship in future = 0.</w:t>
      </w:r>
      <w:r w:rsidR="003C4832">
        <w:t>757</w:t>
      </w:r>
      <w:r w:rsidRPr="00BE47ED">
        <w:t xml:space="preserve"> [0.7</w:t>
      </w:r>
      <w:r w:rsidR="003C4832">
        <w:t>16</w:t>
      </w:r>
      <w:r w:rsidRPr="00BE47ED">
        <w:t xml:space="preserve">; </w:t>
      </w:r>
      <w:r w:rsidR="007E15B3">
        <w:t>0.967</w:t>
      </w:r>
      <w:r w:rsidRPr="00BE47ED">
        <w:t>]</w:t>
      </w:r>
    </w:p>
    <w:p w:rsidR="003F7C1B" w:rsidRPr="00BE47ED" w:rsidRDefault="003F7C1B" w:rsidP="00936CAA">
      <w:pPr>
        <w:ind w:firstLine="720"/>
        <w:jc w:val="both"/>
      </w:pPr>
    </w:p>
    <w:p w:rsidR="003F7C1B" w:rsidRPr="00BE47ED" w:rsidRDefault="003F7C1B" w:rsidP="00936CAA">
      <w:pPr>
        <w:ind w:firstLine="720"/>
        <w:jc w:val="both"/>
      </w:pPr>
      <w:r w:rsidRPr="00BE47ED">
        <w:t>B75</w:t>
      </w:r>
      <w:proofErr w:type="gramStart"/>
      <w:r w:rsidRPr="00BE47ED">
        <w:t>m(</w:t>
      </w:r>
      <w:proofErr w:type="gramEnd"/>
      <w:r w:rsidRPr="00BE47ED">
        <w:t>20</w:t>
      </w:r>
      <w:r w:rsidRPr="00BE47ED">
        <w:rPr>
          <w:b/>
        </w:rPr>
        <w:t>30</w:t>
      </w:r>
      <w:r w:rsidRPr="00BE47ED">
        <w:t>/2006): BC (no S/R relationship in future) = 1.107 [0.675; 1.676]</w:t>
      </w:r>
    </w:p>
    <w:p w:rsidR="003F7C1B" w:rsidRDefault="003F7C1B" w:rsidP="00936CAA">
      <w:pPr>
        <w:ind w:firstLine="720"/>
        <w:jc w:val="both"/>
      </w:pPr>
      <w:r w:rsidRPr="00BE47ED">
        <w:t>B75</w:t>
      </w:r>
      <w:proofErr w:type="gramStart"/>
      <w:r w:rsidRPr="00BE47ED">
        <w:t>m(</w:t>
      </w:r>
      <w:proofErr w:type="gramEnd"/>
      <w:r w:rsidRPr="00BE47ED">
        <w:t>20</w:t>
      </w:r>
      <w:r w:rsidRPr="00BE47ED">
        <w:rPr>
          <w:b/>
        </w:rPr>
        <w:t>30</w:t>
      </w:r>
      <w:r w:rsidRPr="00BE47ED">
        <w:t>/2006): With a S/R relationship in future = 0.</w:t>
      </w:r>
      <w:r w:rsidR="003C4832">
        <w:t xml:space="preserve">672 </w:t>
      </w:r>
      <w:r w:rsidRPr="00BE47ED">
        <w:t>[0.</w:t>
      </w:r>
      <w:r w:rsidR="003C4832">
        <w:t>387</w:t>
      </w:r>
      <w:r w:rsidRPr="00BE47ED">
        <w:t xml:space="preserve">; </w:t>
      </w:r>
      <w:r w:rsidR="003C4832">
        <w:t>0.993</w:t>
      </w:r>
      <w:r w:rsidRPr="00BE47ED">
        <w:t>]</w:t>
      </w:r>
    </w:p>
    <w:p w:rsidR="001D7ACF" w:rsidRDefault="001D7ACF" w:rsidP="00936CAA">
      <w:pPr>
        <w:jc w:val="both"/>
      </w:pPr>
      <w:r>
        <w:br w:type="page"/>
      </w:r>
    </w:p>
    <w:p w:rsidR="00256B61" w:rsidRPr="00A816D1" w:rsidRDefault="00256B61" w:rsidP="00936CAA">
      <w:pPr>
        <w:ind w:firstLine="720"/>
        <w:jc w:val="both"/>
      </w:pPr>
    </w:p>
    <w:p w:rsidR="00256B61" w:rsidRPr="00256B61" w:rsidRDefault="00256B61" w:rsidP="00936CAA">
      <w:pPr>
        <w:pStyle w:val="ListParagraph"/>
        <w:numPr>
          <w:ilvl w:val="0"/>
          <w:numId w:val="1"/>
        </w:numPr>
        <w:jc w:val="both"/>
        <w:rPr>
          <w:b/>
        </w:rPr>
      </w:pPr>
      <w:r w:rsidRPr="00256B61">
        <w:rPr>
          <w:b/>
        </w:rPr>
        <w:t xml:space="preserve">Looking at </w:t>
      </w:r>
      <w:proofErr w:type="spellStart"/>
      <w:r w:rsidRPr="00256B61">
        <w:rPr>
          <w:b/>
        </w:rPr>
        <w:t>Bsp</w:t>
      </w:r>
      <w:proofErr w:type="spellEnd"/>
      <w:r w:rsidRPr="00256B61">
        <w:rPr>
          <w:b/>
        </w:rPr>
        <w:t xml:space="preserve"> and recruitment values for 1990+</w:t>
      </w:r>
    </w:p>
    <w:p w:rsidR="00256B61" w:rsidRDefault="00256B61" w:rsidP="00936CAA">
      <w:pPr>
        <w:jc w:val="both"/>
      </w:pPr>
      <w:r>
        <w:t>Projections assum</w:t>
      </w:r>
      <w:r w:rsidR="00033727">
        <w:t>e</w:t>
      </w:r>
      <w:r>
        <w:t xml:space="preserve"> a S/R relationship which is determined by considering the total (i.e. combined over all five super-areas) recruitment versus total female spawning biomass. Figure 1 plots this relationship. The S/R relationship is shown by the red line and comes into play if the </w:t>
      </w:r>
      <w:proofErr w:type="spellStart"/>
      <w:r>
        <w:t>Bsp</w:t>
      </w:r>
      <w:proofErr w:type="spellEnd"/>
      <w:r>
        <w:t xml:space="preserve"> drops below the lowest level observed in 1998 of 0.0835K.</w:t>
      </w:r>
      <w:r w:rsidR="004527F7">
        <w:t xml:space="preserve"> The green line is the average of the </w:t>
      </w:r>
      <w:r w:rsidR="004527F7" w:rsidRPr="00033727">
        <w:rPr>
          <w:b/>
        </w:rPr>
        <w:t>1990</w:t>
      </w:r>
      <w:r w:rsidR="004527F7">
        <w:t>…2010 recruitment values.</w:t>
      </w:r>
    </w:p>
    <w:p w:rsidR="00256B61" w:rsidRDefault="00256B61" w:rsidP="00936CAA">
      <w:pPr>
        <w:jc w:val="both"/>
      </w:pPr>
      <w:r>
        <w:t xml:space="preserve">Each super-area is projected ahead assuming a future TAC level at the current 2019 TAC level, where future (2011+) recruitment is modelled as a function of female spawning biomass (see Figure </w:t>
      </w:r>
      <w:r w:rsidR="00A8348F">
        <w:t>4</w:t>
      </w:r>
      <w:r>
        <w:t xml:space="preserve">). </w:t>
      </w:r>
    </w:p>
    <w:p w:rsidR="00256B61" w:rsidRDefault="00256B61" w:rsidP="00936CAA">
      <w:pPr>
        <w:jc w:val="both"/>
      </w:pPr>
      <w:r>
        <w:t>Thus, for each super-area:</w:t>
      </w:r>
    </w:p>
    <w:p w:rsidR="00256B61" w:rsidRDefault="00256B61" w:rsidP="00936CAA">
      <w:pPr>
        <w:jc w:val="both"/>
      </w:pPr>
      <w:r>
        <w:t xml:space="preserve">Step 1: Generate a future recruitment estimate drawn at random with replacement from  </w:t>
      </w:r>
    </w:p>
    <w:p w:rsidR="00256B61" w:rsidRDefault="00256B61" w:rsidP="00936CAA">
      <w:pPr>
        <w:jc w:val="both"/>
      </w:pPr>
      <w:r>
        <w:t xml:space="preserve"> </w:t>
      </w:r>
      <w:r>
        <w:tab/>
      </w:r>
      <w:r w:rsidRPr="00033727">
        <w:rPr>
          <w:b/>
        </w:rPr>
        <w:t>R19</w:t>
      </w:r>
      <w:r w:rsidR="00A8348F" w:rsidRPr="00033727">
        <w:rPr>
          <w:b/>
        </w:rPr>
        <w:t>9</w:t>
      </w:r>
      <w:r w:rsidRPr="00033727">
        <w:rPr>
          <w:b/>
        </w:rPr>
        <w:t>0</w:t>
      </w:r>
      <w:r>
        <w:t>...R2010 (as for BC method)</w:t>
      </w:r>
    </w:p>
    <w:p w:rsidR="00256B61" w:rsidRDefault="00256B61" w:rsidP="00936CAA">
      <w:pPr>
        <w:jc w:val="both"/>
      </w:pPr>
      <w:r>
        <w:t>Step 2:</w:t>
      </w:r>
      <w:r>
        <w:tab/>
        <w:t xml:space="preserve">if </w:t>
      </w:r>
      <w:proofErr w:type="spellStart"/>
      <w:r>
        <w:t>Bsp</w:t>
      </w:r>
      <w:proofErr w:type="spellEnd"/>
      <w:r>
        <w:t>/</w:t>
      </w:r>
      <w:proofErr w:type="spellStart"/>
      <w:r>
        <w:t>Bsp</w:t>
      </w:r>
      <w:proofErr w:type="spellEnd"/>
      <w:r>
        <w:t>(K) &gt;= 0.0835</w:t>
      </w:r>
      <w:r>
        <w:tab/>
        <w:t>retain the randomly selected recruitment</w:t>
      </w:r>
    </w:p>
    <w:p w:rsidR="00256B61" w:rsidRDefault="00256B61" w:rsidP="00936CAA">
      <w:pPr>
        <w:jc w:val="both"/>
      </w:pPr>
      <w:r>
        <w:tab/>
        <w:t xml:space="preserve">If </w:t>
      </w:r>
      <w:proofErr w:type="spellStart"/>
      <w:r>
        <w:t>Bsp</w:t>
      </w:r>
      <w:proofErr w:type="spellEnd"/>
      <w:r>
        <w:t>/</w:t>
      </w:r>
      <w:proofErr w:type="spellStart"/>
      <w:r>
        <w:t>Bsp</w:t>
      </w:r>
      <w:proofErr w:type="spellEnd"/>
      <w:r>
        <w:t>(</w:t>
      </w:r>
      <w:proofErr w:type="gramStart"/>
      <w:r>
        <w:t xml:space="preserve">K)   </w:t>
      </w:r>
      <w:proofErr w:type="gramEnd"/>
      <w:r>
        <w:t xml:space="preserve">&lt; 0.0835 </w:t>
      </w:r>
      <w:r>
        <w:tab/>
        <w:t xml:space="preserve">multiply the randomly selected recruitment estimate by </w:t>
      </w:r>
      <m:oMath>
        <m:f>
          <m:fPr>
            <m:ctrlPr>
              <w:rPr>
                <w:rFonts w:ascii="Cambria Math" w:hAnsi="Cambria Math"/>
                <w:i/>
              </w:rPr>
            </m:ctrlPr>
          </m:fPr>
          <m:num>
            <m:r>
              <w:rPr>
                <w:rFonts w:ascii="Cambria Math" w:hAnsi="Cambria Math"/>
              </w:rPr>
              <m:t>Bsp/Bsp(K)</m:t>
            </m:r>
          </m:num>
          <m:den>
            <m:r>
              <w:rPr>
                <w:rFonts w:ascii="Cambria Math" w:hAnsi="Cambria Math"/>
              </w:rPr>
              <m:t>0.0835</m:t>
            </m:r>
          </m:den>
        </m:f>
      </m:oMath>
    </w:p>
    <w:p w:rsidR="00256B61" w:rsidRDefault="00256B61" w:rsidP="00936CAA">
      <w:pPr>
        <w:jc w:val="both"/>
      </w:pPr>
    </w:p>
    <w:p w:rsidR="00256B61" w:rsidRDefault="00256B61" w:rsidP="00936CAA">
      <w:pPr>
        <w:jc w:val="both"/>
        <w:rPr>
          <w:b/>
          <w:i/>
        </w:rPr>
      </w:pPr>
      <w:r w:rsidRPr="00FF039D">
        <w:rPr>
          <w:b/>
          <w:i/>
        </w:rPr>
        <w:t>Results</w:t>
      </w:r>
    </w:p>
    <w:p w:rsidR="00256B61" w:rsidRPr="00BE47ED" w:rsidRDefault="00256B61" w:rsidP="00936CAA">
      <w:pPr>
        <w:jc w:val="both"/>
      </w:pPr>
      <w:r>
        <w:t xml:space="preserve">Figure </w:t>
      </w:r>
      <w:r w:rsidR="00A8348F">
        <w:t>5</w:t>
      </w:r>
      <w:r>
        <w:t xml:space="preserve"> shows the results combined over all five super-area. Thus for the total resource the following statistics apply:</w:t>
      </w:r>
    </w:p>
    <w:p w:rsidR="00256B61" w:rsidRPr="00BE47ED" w:rsidRDefault="00256B61" w:rsidP="00936CAA">
      <w:pPr>
        <w:ind w:firstLine="720"/>
        <w:jc w:val="both"/>
      </w:pPr>
      <w:r w:rsidRPr="00BE47ED">
        <w:t>B75</w:t>
      </w:r>
      <w:proofErr w:type="gramStart"/>
      <w:r w:rsidRPr="00BE47ED">
        <w:t>m(</w:t>
      </w:r>
      <w:proofErr w:type="gramEnd"/>
      <w:r w:rsidRPr="00BE47ED">
        <w:t>20</w:t>
      </w:r>
      <w:r w:rsidRPr="00BE47ED">
        <w:rPr>
          <w:b/>
        </w:rPr>
        <w:t>25</w:t>
      </w:r>
      <w:r w:rsidRPr="00BE47ED">
        <w:t>/2006): BC (no S/R relationship in future) = 1.052 [0.831; 1.337]</w:t>
      </w:r>
    </w:p>
    <w:p w:rsidR="00256B61" w:rsidRPr="007E15B3" w:rsidRDefault="00256B61" w:rsidP="00936CAA">
      <w:pPr>
        <w:ind w:firstLine="720"/>
        <w:jc w:val="both"/>
      </w:pPr>
      <w:r w:rsidRPr="007E15B3">
        <w:t>B75</w:t>
      </w:r>
      <w:proofErr w:type="gramStart"/>
      <w:r w:rsidRPr="007E15B3">
        <w:t>m(</w:t>
      </w:r>
      <w:proofErr w:type="gramEnd"/>
      <w:r w:rsidRPr="007E15B3">
        <w:t>20</w:t>
      </w:r>
      <w:r w:rsidRPr="007E15B3">
        <w:rPr>
          <w:b/>
        </w:rPr>
        <w:t>25</w:t>
      </w:r>
      <w:r w:rsidRPr="007E15B3">
        <w:t>/2006): With a S/</w:t>
      </w:r>
      <w:r w:rsidR="007E15B3" w:rsidRPr="007E15B3">
        <w:t>R relationship in future = 0.774 [0.694; 866</w:t>
      </w:r>
      <w:r w:rsidRPr="007E15B3">
        <w:t>]</w:t>
      </w:r>
    </w:p>
    <w:p w:rsidR="00256B61" w:rsidRPr="007E15B3" w:rsidRDefault="00256B61" w:rsidP="00936CAA">
      <w:pPr>
        <w:ind w:firstLine="720"/>
        <w:jc w:val="both"/>
      </w:pPr>
    </w:p>
    <w:p w:rsidR="00256B61" w:rsidRPr="007E15B3" w:rsidRDefault="00256B61" w:rsidP="00936CAA">
      <w:pPr>
        <w:ind w:firstLine="720"/>
        <w:jc w:val="both"/>
      </w:pPr>
      <w:r w:rsidRPr="007E15B3">
        <w:t>B75</w:t>
      </w:r>
      <w:proofErr w:type="gramStart"/>
      <w:r w:rsidRPr="007E15B3">
        <w:t>m(</w:t>
      </w:r>
      <w:proofErr w:type="gramEnd"/>
      <w:r w:rsidRPr="007E15B3">
        <w:t>20</w:t>
      </w:r>
      <w:r w:rsidRPr="007E15B3">
        <w:rPr>
          <w:b/>
        </w:rPr>
        <w:t>30</w:t>
      </w:r>
      <w:r w:rsidRPr="007E15B3">
        <w:t>/2006): BC (no S/R relationship in future) = 1.107 [0.675; 1.676]</w:t>
      </w:r>
    </w:p>
    <w:p w:rsidR="00256B61" w:rsidRPr="00A816D1" w:rsidRDefault="00256B61" w:rsidP="00936CAA">
      <w:pPr>
        <w:ind w:firstLine="720"/>
        <w:jc w:val="both"/>
      </w:pPr>
      <w:r w:rsidRPr="007E15B3">
        <w:t>B75</w:t>
      </w:r>
      <w:proofErr w:type="gramStart"/>
      <w:r w:rsidRPr="007E15B3">
        <w:t>m(</w:t>
      </w:r>
      <w:proofErr w:type="gramEnd"/>
      <w:r w:rsidRPr="007E15B3">
        <w:t>20</w:t>
      </w:r>
      <w:r w:rsidRPr="007E15B3">
        <w:rPr>
          <w:b/>
        </w:rPr>
        <w:t>30</w:t>
      </w:r>
      <w:r w:rsidRPr="007E15B3">
        <w:t>/2006): With a S/</w:t>
      </w:r>
      <w:r w:rsidR="007E15B3" w:rsidRPr="007E15B3">
        <w:t>R relationship in future = 0.600 [0.336; 0.937</w:t>
      </w:r>
      <w:r w:rsidRPr="007E15B3">
        <w:t>]</w:t>
      </w:r>
    </w:p>
    <w:p w:rsidR="00256B61" w:rsidRDefault="00256B61" w:rsidP="00936CAA">
      <w:pPr>
        <w:jc w:val="both"/>
      </w:pPr>
    </w:p>
    <w:p w:rsidR="00936CAA" w:rsidRDefault="00936CAA" w:rsidP="00936CAA">
      <w:pPr>
        <w:jc w:val="both"/>
      </w:pPr>
      <w:r>
        <w:br w:type="page"/>
      </w:r>
    </w:p>
    <w:p w:rsidR="003F7C1B" w:rsidRPr="00936CAA" w:rsidRDefault="00936CAA" w:rsidP="00936CAA">
      <w:pPr>
        <w:jc w:val="both"/>
        <w:rPr>
          <w:b/>
          <w:sz w:val="28"/>
          <w:szCs w:val="28"/>
        </w:rPr>
      </w:pPr>
      <w:r w:rsidRPr="00936CAA">
        <w:rPr>
          <w:b/>
          <w:sz w:val="28"/>
          <w:szCs w:val="28"/>
        </w:rPr>
        <w:lastRenderedPageBreak/>
        <w:t>A relationship between somatic growth and CPUE?</w:t>
      </w:r>
    </w:p>
    <w:p w:rsidR="00936CAA" w:rsidRDefault="00936CAA" w:rsidP="00936CAA">
      <w:pPr>
        <w:jc w:val="both"/>
      </w:pPr>
      <w:r>
        <w:t xml:space="preserve">Figure 6 </w:t>
      </w:r>
      <w:r w:rsidR="00033727">
        <w:t xml:space="preserve">is a </w:t>
      </w:r>
      <w:r>
        <w:t>plot of both the somatic growth rate and the TRAP CPUE trend for super-area A8+ for the 2000 period. It would appear that there is a relationship between these two indicating that the annual magnitude of growth rate for the male lobsters above legal size impacts the TRAP CPUE trend subsequently observed. This would indicate that the exploitable portion of the stock is highly dependent on the somatic growth rate.</w:t>
      </w:r>
    </w:p>
    <w:p w:rsidR="00936CAA" w:rsidRDefault="00936CAA" w:rsidP="00936CAA">
      <w:pPr>
        <w:jc w:val="both"/>
      </w:pPr>
    </w:p>
    <w:p w:rsidR="00936CAA" w:rsidRPr="00061D04" w:rsidRDefault="00061D04" w:rsidP="00936CAA">
      <w:pPr>
        <w:jc w:val="both"/>
        <w:rPr>
          <w:b/>
          <w:sz w:val="28"/>
          <w:szCs w:val="28"/>
        </w:rPr>
      </w:pPr>
      <w:r w:rsidRPr="00061D04">
        <w:rPr>
          <w:b/>
          <w:sz w:val="28"/>
          <w:szCs w:val="28"/>
        </w:rPr>
        <w:t>Plots of biomass trends for different portions of resource (for A8+)</w:t>
      </w:r>
    </w:p>
    <w:p w:rsidR="00061D04" w:rsidRDefault="00061D04" w:rsidP="00936CAA">
      <w:pPr>
        <w:jc w:val="both"/>
      </w:pPr>
      <w:r>
        <w:t>Figure 7 plots the biomass trends for A8+ showing the following biomass components:</w:t>
      </w:r>
    </w:p>
    <w:p w:rsidR="00061D04" w:rsidRDefault="00061D04" w:rsidP="00061D04">
      <w:pPr>
        <w:pStyle w:val="ListParagraph"/>
        <w:numPr>
          <w:ilvl w:val="0"/>
          <w:numId w:val="2"/>
        </w:numPr>
        <w:jc w:val="both"/>
      </w:pPr>
      <w:r w:rsidRPr="00061D04">
        <w:rPr>
          <w:b/>
        </w:rPr>
        <w:t>Bf &gt; 65mm</w:t>
      </w:r>
      <w:r>
        <w:t xml:space="preserve"> (female biomass above 65mm CL)</w:t>
      </w:r>
    </w:p>
    <w:p w:rsidR="00061D04" w:rsidRDefault="00061D04" w:rsidP="00061D04">
      <w:pPr>
        <w:pStyle w:val="ListParagraph"/>
        <w:numPr>
          <w:ilvl w:val="0"/>
          <w:numId w:val="2"/>
        </w:numPr>
        <w:jc w:val="both"/>
      </w:pPr>
      <w:proofErr w:type="spellStart"/>
      <w:r w:rsidRPr="00061D04">
        <w:rPr>
          <w:b/>
        </w:rPr>
        <w:t>Bm</w:t>
      </w:r>
      <w:proofErr w:type="spellEnd"/>
      <w:r w:rsidRPr="00061D04">
        <w:rPr>
          <w:b/>
        </w:rPr>
        <w:t xml:space="preserve"> &gt; 65mm</w:t>
      </w:r>
      <w:r>
        <w:t xml:space="preserve"> (male biomass above 65mm CL)</w:t>
      </w:r>
    </w:p>
    <w:p w:rsidR="00061D04" w:rsidRDefault="00061D04" w:rsidP="00061D04">
      <w:pPr>
        <w:pStyle w:val="ListParagraph"/>
        <w:numPr>
          <w:ilvl w:val="0"/>
          <w:numId w:val="2"/>
        </w:numPr>
        <w:jc w:val="both"/>
      </w:pPr>
      <w:r w:rsidRPr="00061D04">
        <w:rPr>
          <w:b/>
        </w:rPr>
        <w:t>B &gt; 65mm</w:t>
      </w:r>
      <w:r>
        <w:t xml:space="preserve"> (total biomass above 65mm CL)</w:t>
      </w:r>
    </w:p>
    <w:p w:rsidR="00061D04" w:rsidRDefault="00061D04" w:rsidP="00061D04">
      <w:pPr>
        <w:jc w:val="both"/>
      </w:pPr>
    </w:p>
    <w:p w:rsidR="00061D04" w:rsidRDefault="00061D04" w:rsidP="00061D04">
      <w:pPr>
        <w:pStyle w:val="ListParagraph"/>
        <w:numPr>
          <w:ilvl w:val="0"/>
          <w:numId w:val="2"/>
        </w:numPr>
        <w:jc w:val="both"/>
      </w:pPr>
      <w:r w:rsidRPr="00061D04">
        <w:rPr>
          <w:b/>
        </w:rPr>
        <w:t>Bf &gt;75mm</w:t>
      </w:r>
      <w:r>
        <w:t xml:space="preserve"> (female biomass above 75mm CL)</w:t>
      </w:r>
    </w:p>
    <w:p w:rsidR="00061D04" w:rsidRDefault="00061D04" w:rsidP="00061D04">
      <w:pPr>
        <w:pStyle w:val="ListParagraph"/>
        <w:numPr>
          <w:ilvl w:val="0"/>
          <w:numId w:val="2"/>
        </w:numPr>
        <w:jc w:val="both"/>
      </w:pPr>
      <w:proofErr w:type="spellStart"/>
      <w:r w:rsidRPr="00061D04">
        <w:rPr>
          <w:b/>
        </w:rPr>
        <w:t>Bm</w:t>
      </w:r>
      <w:proofErr w:type="spellEnd"/>
      <w:r w:rsidRPr="00061D04">
        <w:rPr>
          <w:b/>
        </w:rPr>
        <w:t xml:space="preserve"> &gt; 75mm</w:t>
      </w:r>
      <w:r>
        <w:t xml:space="preserve"> (male biomass above 75mm CL)</w:t>
      </w:r>
    </w:p>
    <w:p w:rsidR="00061D04" w:rsidRDefault="00061D04" w:rsidP="00061D04">
      <w:pPr>
        <w:pStyle w:val="ListParagraph"/>
        <w:numPr>
          <w:ilvl w:val="0"/>
          <w:numId w:val="2"/>
        </w:numPr>
        <w:jc w:val="both"/>
      </w:pPr>
      <w:r w:rsidRPr="00061D04">
        <w:rPr>
          <w:b/>
        </w:rPr>
        <w:t>B &gt; 75mm</w:t>
      </w:r>
      <w:r>
        <w:t xml:space="preserve"> (total biomass above 75mm CL)</w:t>
      </w:r>
    </w:p>
    <w:p w:rsidR="00061D04" w:rsidRDefault="00061D04" w:rsidP="00936CAA">
      <w:pPr>
        <w:jc w:val="both"/>
      </w:pPr>
    </w:p>
    <w:p w:rsidR="00810748" w:rsidRPr="001806BC" w:rsidRDefault="001806BC" w:rsidP="00936CAA">
      <w:pPr>
        <w:jc w:val="both"/>
        <w:rPr>
          <w:b/>
          <w:sz w:val="28"/>
          <w:szCs w:val="28"/>
        </w:rPr>
      </w:pPr>
      <w:r w:rsidRPr="001806BC">
        <w:rPr>
          <w:b/>
          <w:sz w:val="28"/>
          <w:szCs w:val="28"/>
        </w:rPr>
        <w:t>Estimated s</w:t>
      </w:r>
      <w:r w:rsidR="00810748" w:rsidRPr="001806BC">
        <w:rPr>
          <w:b/>
          <w:sz w:val="28"/>
          <w:szCs w:val="28"/>
        </w:rPr>
        <w:t>electivity</w:t>
      </w:r>
      <w:r w:rsidRPr="001806BC">
        <w:rPr>
          <w:b/>
          <w:sz w:val="28"/>
          <w:szCs w:val="28"/>
        </w:rPr>
        <w:t xml:space="preserve"> function and fits to catch-at-length data (for A8+)</w:t>
      </w:r>
    </w:p>
    <w:p w:rsidR="00F811F6" w:rsidRDefault="00810748" w:rsidP="00F811F6">
      <w:pPr>
        <w:jc w:val="both"/>
      </w:pPr>
      <w:r>
        <w:t>Figure 8</w:t>
      </w:r>
      <w:r w:rsidR="001806BC">
        <w:t xml:space="preserve"> plots the male and female TRAP, HOOP and FIMS selectivity functions for super-area A8+</w:t>
      </w:r>
      <w:proofErr w:type="gramStart"/>
      <w:r w:rsidR="001806BC">
        <w:t>.</w:t>
      </w:r>
      <w:r w:rsidR="00F811F6">
        <w:t xml:space="preserve"> </w:t>
      </w:r>
      <w:proofErr w:type="gramEnd"/>
      <w:r w:rsidR="00F811F6">
        <w:t>Figure 9 shows f</w:t>
      </w:r>
      <w:r w:rsidR="00F811F6">
        <w:t xml:space="preserve">its to the TRAP, HOOP and FIMS catch-at-length data for super-area A8+ (Note: fits averaged over periods; </w:t>
      </w:r>
      <w:proofErr w:type="gramStart"/>
      <w:r w:rsidR="00F811F6">
        <w:t>plus</w:t>
      </w:r>
      <w:proofErr w:type="gramEnd"/>
      <w:r w:rsidR="00F811F6">
        <w:t xml:space="preserve"> and minus-groups are incorporated).</w:t>
      </w:r>
    </w:p>
    <w:p w:rsidR="00810748" w:rsidRDefault="00810748" w:rsidP="00936CAA">
      <w:pPr>
        <w:jc w:val="both"/>
      </w:pPr>
    </w:p>
    <w:p w:rsidR="001806BC" w:rsidRPr="00011861" w:rsidRDefault="00011861" w:rsidP="00936CAA">
      <w:pPr>
        <w:jc w:val="both"/>
        <w:rPr>
          <w:b/>
          <w:sz w:val="28"/>
          <w:szCs w:val="28"/>
        </w:rPr>
      </w:pPr>
      <w:r w:rsidRPr="00011861">
        <w:rPr>
          <w:b/>
          <w:sz w:val="28"/>
          <w:szCs w:val="28"/>
        </w:rPr>
        <w:t>Discarded biomass trends</w:t>
      </w:r>
    </w:p>
    <w:p w:rsidR="00011861" w:rsidRDefault="00011861" w:rsidP="00011861">
      <w:pPr>
        <w:jc w:val="both"/>
      </w:pPr>
      <w:r>
        <w:t>Figure 10</w:t>
      </w:r>
      <w:r>
        <w:t xml:space="preserve"> shows plots of</w:t>
      </w:r>
      <w:r>
        <w:t xml:space="preserve"> A8+ trends of commercial catch, discarded biomass, ratio of discarded biomass to commercial catch and the biomass lost due to the 10% discard mortality</w:t>
      </w:r>
      <w:r>
        <w:t xml:space="preserve"> assumed</w:t>
      </w:r>
      <w:r>
        <w:t>.</w:t>
      </w:r>
    </w:p>
    <w:p w:rsidR="00011861" w:rsidRDefault="00011861" w:rsidP="00936CAA">
      <w:pPr>
        <w:jc w:val="both"/>
      </w:pPr>
    </w:p>
    <w:p w:rsidR="003F7C1B" w:rsidRDefault="003F7C1B" w:rsidP="00936CAA">
      <w:pPr>
        <w:jc w:val="both"/>
      </w:pPr>
      <w:r>
        <w:br w:type="page"/>
      </w:r>
    </w:p>
    <w:p w:rsidR="003F7C1B" w:rsidRDefault="003F7C1B" w:rsidP="00936CAA">
      <w:pPr>
        <w:jc w:val="both"/>
      </w:pPr>
      <w:r>
        <w:rPr>
          <w:noProof/>
          <w:lang w:eastAsia="en-ZA"/>
        </w:rPr>
        <w:lastRenderedPageBreak/>
        <w:drawing>
          <wp:inline distT="0" distB="0" distL="0" distR="0" wp14:anchorId="211CA02F" wp14:editId="6239EFB5">
            <wp:extent cx="5602605" cy="303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3035935"/>
                    </a:xfrm>
                    <a:prstGeom prst="rect">
                      <a:avLst/>
                    </a:prstGeom>
                    <a:noFill/>
                  </pic:spPr>
                </pic:pic>
              </a:graphicData>
            </a:graphic>
          </wp:inline>
        </w:drawing>
      </w:r>
    </w:p>
    <w:p w:rsidR="0068756D" w:rsidRDefault="003F7C1B" w:rsidP="00936CAA">
      <w:pPr>
        <w:jc w:val="both"/>
      </w:pPr>
      <w:r>
        <w:t>Figure 1:</w:t>
      </w:r>
      <w:r w:rsidR="007E15B3">
        <w:t xml:space="preserve"> </w:t>
      </w:r>
      <w:r w:rsidR="007E15B3">
        <w:rPr>
          <w:szCs w:val="24"/>
        </w:rPr>
        <w:t xml:space="preserve">Spawning stock-recruit relationship for all super-areas combined with the proposed S/R relationship (to be applied for years 2011+) shown in </w:t>
      </w:r>
      <w:r w:rsidR="007E15B3" w:rsidRPr="0023533A">
        <w:rPr>
          <w:b/>
          <w:color w:val="FF0000"/>
          <w:szCs w:val="24"/>
        </w:rPr>
        <w:t>red</w:t>
      </w:r>
      <w:r w:rsidR="007E15B3">
        <w:rPr>
          <w:szCs w:val="24"/>
        </w:rPr>
        <w:t xml:space="preserve">. The </w:t>
      </w:r>
      <w:r w:rsidR="007E15B3" w:rsidRPr="0023533A">
        <w:rPr>
          <w:b/>
          <w:color w:val="00B050"/>
          <w:szCs w:val="24"/>
        </w:rPr>
        <w:t>green</w:t>
      </w:r>
      <w:r w:rsidR="007E15B3">
        <w:rPr>
          <w:szCs w:val="24"/>
        </w:rPr>
        <w:t xml:space="preserve"> horizontal line is the average of the R1970…R2010 recruitment parameter estimates.</w:t>
      </w:r>
    </w:p>
    <w:p w:rsidR="006966D3" w:rsidRDefault="006966D3" w:rsidP="00936CAA">
      <w:pPr>
        <w:jc w:val="both"/>
      </w:pPr>
      <w:r>
        <w:br w:type="page"/>
      </w:r>
    </w:p>
    <w:p w:rsidR="003F7C1B" w:rsidRDefault="00BE47ED" w:rsidP="00936CAA">
      <w:pPr>
        <w:jc w:val="both"/>
      </w:pPr>
      <w:r>
        <w:rPr>
          <w:noProof/>
          <w:lang w:eastAsia="en-ZA"/>
        </w:rPr>
        <w:lastRenderedPageBreak/>
        <w:drawing>
          <wp:inline distT="0" distB="0" distL="0" distR="0" wp14:anchorId="63ADDB47" wp14:editId="1FC21B8C">
            <wp:extent cx="5637968" cy="35147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03" cy="3523163"/>
                    </a:xfrm>
                    <a:prstGeom prst="rect">
                      <a:avLst/>
                    </a:prstGeom>
                    <a:noFill/>
                  </pic:spPr>
                </pic:pic>
              </a:graphicData>
            </a:graphic>
          </wp:inline>
        </w:drawing>
      </w:r>
    </w:p>
    <w:p w:rsidR="006966D3" w:rsidRDefault="006966D3" w:rsidP="00936CAA">
      <w:pPr>
        <w:jc w:val="both"/>
      </w:pPr>
      <w:r>
        <w:t>Figure 2a:</w:t>
      </w:r>
      <w:r w:rsidR="007E15B3" w:rsidRPr="007E15B3">
        <w:rPr>
          <w:szCs w:val="24"/>
        </w:rPr>
        <w:t xml:space="preserve"> </w:t>
      </w:r>
      <w:r w:rsidR="00680947">
        <w:rPr>
          <w:szCs w:val="24"/>
        </w:rPr>
        <w:t>Super-area A12 B75m/B75</w:t>
      </w:r>
      <w:proofErr w:type="gramStart"/>
      <w:r w:rsidR="00680947">
        <w:rPr>
          <w:szCs w:val="24"/>
        </w:rPr>
        <w:t>m(</w:t>
      </w:r>
      <w:proofErr w:type="gramEnd"/>
      <w:r w:rsidR="00680947">
        <w:rPr>
          <w:szCs w:val="24"/>
        </w:rPr>
        <w:t>2006) trajectories for a future CC=26 MT (corresponds to 2019 TAC level). The blue lines (median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BC model (which has no S/R function for future recruitment), and the red lines (medians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model for which a S/R function is assumed to apply for future recruitment (see Figure 1 above).</w:t>
      </w:r>
    </w:p>
    <w:p w:rsidR="006966D3" w:rsidRDefault="003C4832" w:rsidP="00936CAA">
      <w:pPr>
        <w:jc w:val="both"/>
      </w:pPr>
      <w:r>
        <w:rPr>
          <w:noProof/>
          <w:lang w:eastAsia="en-ZA"/>
        </w:rPr>
        <w:drawing>
          <wp:inline distT="0" distB="0" distL="0" distR="0" wp14:anchorId="74A77AC9" wp14:editId="581E624F">
            <wp:extent cx="5642610" cy="35135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856" cy="3529233"/>
                    </a:xfrm>
                    <a:prstGeom prst="rect">
                      <a:avLst/>
                    </a:prstGeom>
                    <a:noFill/>
                  </pic:spPr>
                </pic:pic>
              </a:graphicData>
            </a:graphic>
          </wp:inline>
        </w:drawing>
      </w:r>
    </w:p>
    <w:p w:rsidR="00BE47ED" w:rsidRDefault="006966D3" w:rsidP="00936CAA">
      <w:pPr>
        <w:jc w:val="both"/>
      </w:pPr>
      <w:r>
        <w:t>Figure 2b:</w:t>
      </w:r>
      <w:r w:rsidR="00680947">
        <w:t xml:space="preserve"> </w:t>
      </w:r>
      <w:r w:rsidR="00680947">
        <w:rPr>
          <w:szCs w:val="24"/>
        </w:rPr>
        <w:t>Super-area A34 B75m/B75</w:t>
      </w:r>
      <w:proofErr w:type="gramStart"/>
      <w:r w:rsidR="00680947">
        <w:rPr>
          <w:szCs w:val="24"/>
        </w:rPr>
        <w:t>m(</w:t>
      </w:r>
      <w:proofErr w:type="gramEnd"/>
      <w:r w:rsidR="00680947">
        <w:rPr>
          <w:szCs w:val="24"/>
        </w:rPr>
        <w:t>2006) trajectories for a future CC=128 MT (corresponds to 2019 TAC level). The blue lines (median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BC model (which has no S/R function for future recruitment), and the red lines (medians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model for which a S/R function is assumed to apply for future recruitment (see Figure 1 above).</w:t>
      </w:r>
    </w:p>
    <w:p w:rsidR="006966D3" w:rsidRDefault="003C4832" w:rsidP="00936CAA">
      <w:pPr>
        <w:jc w:val="both"/>
      </w:pPr>
      <w:r>
        <w:rPr>
          <w:noProof/>
          <w:lang w:eastAsia="en-ZA"/>
        </w:rPr>
        <w:lastRenderedPageBreak/>
        <w:drawing>
          <wp:inline distT="0" distB="0" distL="0" distR="0" wp14:anchorId="20AE631E" wp14:editId="5D1D3762">
            <wp:extent cx="5750560" cy="3592471"/>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587" cy="3599360"/>
                    </a:xfrm>
                    <a:prstGeom prst="rect">
                      <a:avLst/>
                    </a:prstGeom>
                    <a:noFill/>
                  </pic:spPr>
                </pic:pic>
              </a:graphicData>
            </a:graphic>
          </wp:inline>
        </w:drawing>
      </w:r>
    </w:p>
    <w:p w:rsidR="006966D3" w:rsidRDefault="006966D3" w:rsidP="00936CAA">
      <w:pPr>
        <w:jc w:val="both"/>
      </w:pPr>
      <w:r>
        <w:t>Figure 2c:</w:t>
      </w:r>
      <w:r w:rsidR="00680947">
        <w:t xml:space="preserve"> </w:t>
      </w:r>
      <w:r w:rsidR="00680947">
        <w:rPr>
          <w:szCs w:val="24"/>
        </w:rPr>
        <w:t>Super-area A56 B75m/B75</w:t>
      </w:r>
      <w:proofErr w:type="gramStart"/>
      <w:r w:rsidR="00680947">
        <w:rPr>
          <w:szCs w:val="24"/>
        </w:rPr>
        <w:t>m(</w:t>
      </w:r>
      <w:proofErr w:type="gramEnd"/>
      <w:r w:rsidR="00680947">
        <w:rPr>
          <w:szCs w:val="24"/>
        </w:rPr>
        <w:t>2006) trajectories for a future CC=86 MT (corresponds to 2019 TAC level). The blue lines (median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BC model (which has no S/R function for future recruitment), and the red lines (medians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model for which a S/R function is assumed to apply for future recruitment (see Figure 1 above)</w:t>
      </w:r>
    </w:p>
    <w:p w:rsidR="006966D3" w:rsidRDefault="00BE47ED" w:rsidP="00936CAA">
      <w:pPr>
        <w:jc w:val="both"/>
      </w:pPr>
      <w:r>
        <w:rPr>
          <w:noProof/>
          <w:lang w:eastAsia="en-ZA"/>
        </w:rPr>
        <w:drawing>
          <wp:inline distT="0" distB="0" distL="0" distR="0" wp14:anchorId="44E2A15D" wp14:editId="455542CE">
            <wp:extent cx="5461635" cy="3404799"/>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625" cy="3411027"/>
                    </a:xfrm>
                    <a:prstGeom prst="rect">
                      <a:avLst/>
                    </a:prstGeom>
                    <a:noFill/>
                  </pic:spPr>
                </pic:pic>
              </a:graphicData>
            </a:graphic>
          </wp:inline>
        </w:drawing>
      </w:r>
    </w:p>
    <w:p w:rsidR="006966D3" w:rsidRDefault="006966D3" w:rsidP="00936CAA">
      <w:pPr>
        <w:jc w:val="both"/>
      </w:pPr>
      <w:r>
        <w:t xml:space="preserve">Figure </w:t>
      </w:r>
      <w:r w:rsidR="00BE47ED">
        <w:t>d:</w:t>
      </w:r>
      <w:r w:rsidR="00680947" w:rsidRPr="00680947">
        <w:rPr>
          <w:szCs w:val="24"/>
        </w:rPr>
        <w:t xml:space="preserve"> </w:t>
      </w:r>
      <w:r w:rsidR="00680947">
        <w:rPr>
          <w:szCs w:val="24"/>
        </w:rPr>
        <w:t>Super-area A7 B75m/B75</w:t>
      </w:r>
      <w:proofErr w:type="gramStart"/>
      <w:r w:rsidR="00680947">
        <w:rPr>
          <w:szCs w:val="24"/>
        </w:rPr>
        <w:t>m(</w:t>
      </w:r>
      <w:proofErr w:type="gramEnd"/>
      <w:r w:rsidR="00680947">
        <w:rPr>
          <w:szCs w:val="24"/>
        </w:rPr>
        <w:t>2006) trajectories for a future CC=128 MT (corresponds to 2019 TAC level). The blue lines (median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BC model (which has no S/R function for future recruitment), and the red lines (medians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model for which a S/R function is assumed to apply for future recruitment (see Figure 1 above)</w:t>
      </w:r>
    </w:p>
    <w:p w:rsidR="00BE47ED" w:rsidRDefault="00BE47ED" w:rsidP="00936CAA">
      <w:pPr>
        <w:jc w:val="both"/>
      </w:pPr>
    </w:p>
    <w:p w:rsidR="00BE47ED" w:rsidRDefault="00BE47ED" w:rsidP="00936CAA">
      <w:pPr>
        <w:jc w:val="both"/>
      </w:pPr>
      <w:r>
        <w:rPr>
          <w:noProof/>
          <w:lang w:eastAsia="en-ZA"/>
        </w:rPr>
        <w:drawing>
          <wp:inline distT="0" distB="0" distL="0" distR="0" wp14:anchorId="72F0A064" wp14:editId="14460814">
            <wp:extent cx="6357620" cy="3977828"/>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7191" cy="3983816"/>
                    </a:xfrm>
                    <a:prstGeom prst="rect">
                      <a:avLst/>
                    </a:prstGeom>
                    <a:noFill/>
                  </pic:spPr>
                </pic:pic>
              </a:graphicData>
            </a:graphic>
          </wp:inline>
        </w:drawing>
      </w:r>
    </w:p>
    <w:p w:rsidR="00BE47ED" w:rsidRDefault="00BE47ED" w:rsidP="00936CAA">
      <w:pPr>
        <w:jc w:val="both"/>
      </w:pPr>
      <w:r>
        <w:t>Figure 2e:</w:t>
      </w:r>
      <w:r w:rsidR="007E15B3">
        <w:t xml:space="preserve"> </w:t>
      </w:r>
      <w:r w:rsidR="007E15B3">
        <w:rPr>
          <w:szCs w:val="24"/>
        </w:rPr>
        <w:t>Super-area A8+ B75m/B75</w:t>
      </w:r>
      <w:proofErr w:type="gramStart"/>
      <w:r w:rsidR="007E15B3">
        <w:rPr>
          <w:szCs w:val="24"/>
        </w:rPr>
        <w:t>m(</w:t>
      </w:r>
      <w:proofErr w:type="gramEnd"/>
      <w:r w:rsidR="007E15B3">
        <w:rPr>
          <w:szCs w:val="24"/>
        </w:rPr>
        <w:t>2006) trajectories for a future CC=717 MT (corresponds to 2019 TAC level). The blue lines (median and 5</w:t>
      </w:r>
      <w:r w:rsidR="007E15B3" w:rsidRPr="003F010A">
        <w:rPr>
          <w:szCs w:val="24"/>
          <w:vertAlign w:val="superscript"/>
        </w:rPr>
        <w:t>th</w:t>
      </w:r>
      <w:r w:rsidR="007E15B3">
        <w:rPr>
          <w:szCs w:val="24"/>
        </w:rPr>
        <w:t xml:space="preserve"> and 95</w:t>
      </w:r>
      <w:r w:rsidR="007E15B3" w:rsidRPr="003F010A">
        <w:rPr>
          <w:szCs w:val="24"/>
          <w:vertAlign w:val="superscript"/>
        </w:rPr>
        <w:t>th</w:t>
      </w:r>
      <w:r w:rsidR="007E15B3">
        <w:rPr>
          <w:szCs w:val="24"/>
        </w:rPr>
        <w:t xml:space="preserve"> %</w:t>
      </w:r>
      <w:proofErr w:type="spellStart"/>
      <w:r w:rsidR="007E15B3">
        <w:rPr>
          <w:szCs w:val="24"/>
        </w:rPr>
        <w:t>iles</w:t>
      </w:r>
      <w:proofErr w:type="spellEnd"/>
      <w:r w:rsidR="007E15B3">
        <w:rPr>
          <w:szCs w:val="24"/>
        </w:rPr>
        <w:t>) are for the BC model (which has no S/R function for future recruitment), and the red lines (medians and 5</w:t>
      </w:r>
      <w:r w:rsidR="007E15B3" w:rsidRPr="003F010A">
        <w:rPr>
          <w:szCs w:val="24"/>
          <w:vertAlign w:val="superscript"/>
        </w:rPr>
        <w:t>th</w:t>
      </w:r>
      <w:r w:rsidR="007E15B3">
        <w:rPr>
          <w:szCs w:val="24"/>
        </w:rPr>
        <w:t xml:space="preserve"> and 95</w:t>
      </w:r>
      <w:r w:rsidR="007E15B3" w:rsidRPr="003F010A">
        <w:rPr>
          <w:szCs w:val="24"/>
          <w:vertAlign w:val="superscript"/>
        </w:rPr>
        <w:t>th</w:t>
      </w:r>
      <w:r w:rsidR="007E15B3">
        <w:rPr>
          <w:szCs w:val="24"/>
        </w:rPr>
        <w:t xml:space="preserve"> %</w:t>
      </w:r>
      <w:proofErr w:type="spellStart"/>
      <w:r w:rsidR="007E15B3">
        <w:rPr>
          <w:szCs w:val="24"/>
        </w:rPr>
        <w:t>iles</w:t>
      </w:r>
      <w:proofErr w:type="spellEnd"/>
      <w:r w:rsidR="007E15B3">
        <w:rPr>
          <w:szCs w:val="24"/>
        </w:rPr>
        <w:t xml:space="preserve">) are for the model for which a S/R function is assumed to apply for future recruitment (see Figure 1 above). </w:t>
      </w:r>
    </w:p>
    <w:p w:rsidR="00BE47ED" w:rsidRDefault="003C4832" w:rsidP="00936CAA">
      <w:pPr>
        <w:jc w:val="both"/>
      </w:pPr>
      <w:r>
        <w:rPr>
          <w:noProof/>
          <w:lang w:eastAsia="en-ZA"/>
        </w:rPr>
        <w:lastRenderedPageBreak/>
        <w:drawing>
          <wp:inline distT="0" distB="0" distL="0" distR="0" wp14:anchorId="5DB0A288" wp14:editId="5C582F3E">
            <wp:extent cx="5917939" cy="3684953"/>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8220" cy="3697582"/>
                    </a:xfrm>
                    <a:prstGeom prst="rect">
                      <a:avLst/>
                    </a:prstGeom>
                    <a:noFill/>
                  </pic:spPr>
                </pic:pic>
              </a:graphicData>
            </a:graphic>
          </wp:inline>
        </w:drawing>
      </w:r>
    </w:p>
    <w:p w:rsidR="00680947" w:rsidRDefault="00BE47ED" w:rsidP="00936CAA">
      <w:pPr>
        <w:jc w:val="both"/>
        <w:rPr>
          <w:szCs w:val="24"/>
        </w:rPr>
      </w:pPr>
      <w:r>
        <w:t>Figure 3:</w:t>
      </w:r>
      <w:r w:rsidR="00680947">
        <w:t xml:space="preserve"> Total (combined </w:t>
      </w:r>
      <w:r w:rsidR="00680947">
        <w:rPr>
          <w:szCs w:val="24"/>
        </w:rPr>
        <w:t>super-</w:t>
      </w:r>
      <w:proofErr w:type="gramStart"/>
      <w:r w:rsidR="00680947">
        <w:rPr>
          <w:szCs w:val="24"/>
        </w:rPr>
        <w:t>areas)  B</w:t>
      </w:r>
      <w:proofErr w:type="gramEnd"/>
      <w:r w:rsidR="00680947">
        <w:rPr>
          <w:szCs w:val="24"/>
        </w:rPr>
        <w:t>75m/B75m(2006) trajectories for a future CC=1084 MT (corresponds to 2019 TAC level). The blue lines (median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BC model (which has no S/R function for future recruitment), and the red lines (medians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model for which a S/R function is assumed to apply for future recruitment (see Figure 1 above).</w:t>
      </w:r>
    </w:p>
    <w:p w:rsidR="00BE47ED" w:rsidRPr="00680947" w:rsidRDefault="00680947" w:rsidP="00936CAA">
      <w:pPr>
        <w:jc w:val="both"/>
        <w:rPr>
          <w:szCs w:val="24"/>
        </w:rPr>
      </w:pPr>
      <w:r>
        <w:rPr>
          <w:szCs w:val="24"/>
        </w:rPr>
        <w:br w:type="page"/>
      </w:r>
    </w:p>
    <w:p w:rsidR="00BE47ED" w:rsidRDefault="00A8348F" w:rsidP="00936CAA">
      <w:pPr>
        <w:jc w:val="both"/>
      </w:pPr>
      <w:r>
        <w:rPr>
          <w:noProof/>
          <w:lang w:eastAsia="en-ZA"/>
        </w:rPr>
        <w:lastRenderedPageBreak/>
        <w:drawing>
          <wp:inline distT="0" distB="0" distL="0" distR="0" wp14:anchorId="3E1956AF" wp14:editId="6D1F4665">
            <wp:extent cx="5497604" cy="329565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740" cy="3308320"/>
                    </a:xfrm>
                    <a:prstGeom prst="rect">
                      <a:avLst/>
                    </a:prstGeom>
                    <a:noFill/>
                  </pic:spPr>
                </pic:pic>
              </a:graphicData>
            </a:graphic>
          </wp:inline>
        </w:drawing>
      </w:r>
    </w:p>
    <w:p w:rsidR="003C4832" w:rsidRDefault="003C4832" w:rsidP="00936CAA">
      <w:pPr>
        <w:jc w:val="both"/>
      </w:pPr>
      <w:r>
        <w:t>Figure 4:</w:t>
      </w:r>
      <w:r w:rsidR="007E15B3">
        <w:t xml:space="preserve"> </w:t>
      </w:r>
      <w:r w:rsidR="007E15B3">
        <w:rPr>
          <w:szCs w:val="24"/>
        </w:rPr>
        <w:t xml:space="preserve">Spawning stock-recruit relationship for all super-areas combined with the proposed S/R relationship (to be applied for years 2011+) shown in </w:t>
      </w:r>
      <w:r w:rsidR="007E15B3" w:rsidRPr="0023533A">
        <w:rPr>
          <w:b/>
          <w:color w:val="FF0000"/>
          <w:szCs w:val="24"/>
        </w:rPr>
        <w:t>red</w:t>
      </w:r>
      <w:r w:rsidR="007E15B3">
        <w:rPr>
          <w:szCs w:val="24"/>
        </w:rPr>
        <w:t xml:space="preserve">. The </w:t>
      </w:r>
      <w:r w:rsidR="007E15B3" w:rsidRPr="0023533A">
        <w:rPr>
          <w:b/>
          <w:color w:val="00B050"/>
          <w:szCs w:val="24"/>
        </w:rPr>
        <w:t>green</w:t>
      </w:r>
      <w:r w:rsidR="007E15B3">
        <w:rPr>
          <w:szCs w:val="24"/>
        </w:rPr>
        <w:t xml:space="preserve"> horizontal line is the average of the R19</w:t>
      </w:r>
      <w:r w:rsidR="007E15B3" w:rsidRPr="007E15B3">
        <w:rPr>
          <w:b/>
          <w:szCs w:val="24"/>
        </w:rPr>
        <w:t>90</w:t>
      </w:r>
      <w:r w:rsidR="007E15B3">
        <w:rPr>
          <w:szCs w:val="24"/>
        </w:rPr>
        <w:t>…R2010 recruitment parameter estimates.</w:t>
      </w:r>
    </w:p>
    <w:p w:rsidR="003C4832" w:rsidRDefault="007E15B3" w:rsidP="00936CAA">
      <w:pPr>
        <w:jc w:val="both"/>
      </w:pPr>
      <w:r>
        <w:rPr>
          <w:noProof/>
          <w:lang w:eastAsia="en-ZA"/>
        </w:rPr>
        <w:drawing>
          <wp:inline distT="0" distB="0" distL="0" distR="0" wp14:anchorId="63DC9430" wp14:editId="202DED40">
            <wp:extent cx="5495925" cy="342217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6054" cy="3428482"/>
                    </a:xfrm>
                    <a:prstGeom prst="rect">
                      <a:avLst/>
                    </a:prstGeom>
                    <a:noFill/>
                  </pic:spPr>
                </pic:pic>
              </a:graphicData>
            </a:graphic>
          </wp:inline>
        </w:drawing>
      </w:r>
    </w:p>
    <w:p w:rsidR="00680947" w:rsidRDefault="00A8348F" w:rsidP="00936CAA">
      <w:pPr>
        <w:jc w:val="both"/>
        <w:rPr>
          <w:szCs w:val="24"/>
        </w:rPr>
      </w:pPr>
      <w:r>
        <w:t>Figure 5:</w:t>
      </w:r>
      <w:r w:rsidR="00680947">
        <w:t xml:space="preserve"> Total (combined </w:t>
      </w:r>
      <w:r w:rsidR="00680947">
        <w:rPr>
          <w:szCs w:val="24"/>
        </w:rPr>
        <w:t>super-</w:t>
      </w:r>
      <w:proofErr w:type="gramStart"/>
      <w:r w:rsidR="00680947">
        <w:rPr>
          <w:szCs w:val="24"/>
        </w:rPr>
        <w:t>areas)  B</w:t>
      </w:r>
      <w:proofErr w:type="gramEnd"/>
      <w:r w:rsidR="00680947">
        <w:rPr>
          <w:szCs w:val="24"/>
        </w:rPr>
        <w:t>75m/B75m(2006) trajectories for a future CC=1084 MT (corresponds to 2019 TAC level). The blue lines (median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BC model (which has no S/R function for future recruitment), and the red lines (medians and 5</w:t>
      </w:r>
      <w:r w:rsidR="00680947" w:rsidRPr="003F010A">
        <w:rPr>
          <w:szCs w:val="24"/>
          <w:vertAlign w:val="superscript"/>
        </w:rPr>
        <w:t>th</w:t>
      </w:r>
      <w:r w:rsidR="00680947">
        <w:rPr>
          <w:szCs w:val="24"/>
        </w:rPr>
        <w:t xml:space="preserve"> and 95</w:t>
      </w:r>
      <w:r w:rsidR="00680947" w:rsidRPr="003F010A">
        <w:rPr>
          <w:szCs w:val="24"/>
          <w:vertAlign w:val="superscript"/>
        </w:rPr>
        <w:t>th</w:t>
      </w:r>
      <w:r w:rsidR="00680947">
        <w:rPr>
          <w:szCs w:val="24"/>
        </w:rPr>
        <w:t xml:space="preserve"> %</w:t>
      </w:r>
      <w:proofErr w:type="spellStart"/>
      <w:r w:rsidR="00680947">
        <w:rPr>
          <w:szCs w:val="24"/>
        </w:rPr>
        <w:t>iles</w:t>
      </w:r>
      <w:proofErr w:type="spellEnd"/>
      <w:r w:rsidR="00680947">
        <w:rPr>
          <w:szCs w:val="24"/>
        </w:rPr>
        <w:t>) are for the model for which a S/R function is assumed to apply for future recruitment (see Figure 1 above).</w:t>
      </w:r>
    </w:p>
    <w:p w:rsidR="00936CAA" w:rsidRDefault="00936CAA" w:rsidP="00936CAA">
      <w:pPr>
        <w:jc w:val="both"/>
      </w:pPr>
      <w:r>
        <w:br w:type="page"/>
      </w:r>
    </w:p>
    <w:p w:rsidR="00A8348F" w:rsidRDefault="00936CAA" w:rsidP="00936CAA">
      <w:pPr>
        <w:jc w:val="both"/>
      </w:pPr>
      <w:r>
        <w:rPr>
          <w:noProof/>
          <w:lang w:eastAsia="en-ZA"/>
        </w:rPr>
        <w:lastRenderedPageBreak/>
        <w:drawing>
          <wp:inline distT="0" distB="0" distL="0" distR="0" wp14:anchorId="1CF374BD" wp14:editId="42D22AE3">
            <wp:extent cx="6067425" cy="35139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5250" cy="3512692"/>
                    </a:xfrm>
                    <a:prstGeom prst="rect">
                      <a:avLst/>
                    </a:prstGeom>
                    <a:noFill/>
                  </pic:spPr>
                </pic:pic>
              </a:graphicData>
            </a:graphic>
          </wp:inline>
        </w:drawing>
      </w:r>
    </w:p>
    <w:p w:rsidR="00936CAA" w:rsidRDefault="00936CAA" w:rsidP="00936CAA">
      <w:pPr>
        <w:jc w:val="both"/>
      </w:pPr>
      <w:r>
        <w:t>Figure 6: A plot of both the somatic growth rate and the TRAP CPUE trend for super-area A8+ for the 2000 period.</w:t>
      </w:r>
    </w:p>
    <w:p w:rsidR="00061D04" w:rsidRDefault="00061D04">
      <w:r>
        <w:br w:type="page"/>
      </w:r>
    </w:p>
    <w:p w:rsidR="00061D04" w:rsidRDefault="00061D04" w:rsidP="00936CAA">
      <w:pPr>
        <w:jc w:val="both"/>
      </w:pPr>
      <w:r>
        <w:rPr>
          <w:noProof/>
          <w:lang w:eastAsia="en-ZA"/>
        </w:rPr>
        <w:lastRenderedPageBreak/>
        <w:drawing>
          <wp:inline distT="0" distB="0" distL="0" distR="0" wp14:anchorId="1E93A64A">
            <wp:extent cx="6027229" cy="6516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5158" cy="6513866"/>
                    </a:xfrm>
                    <a:prstGeom prst="rect">
                      <a:avLst/>
                    </a:prstGeom>
                    <a:noFill/>
                  </pic:spPr>
                </pic:pic>
              </a:graphicData>
            </a:graphic>
          </wp:inline>
        </w:drawing>
      </w:r>
    </w:p>
    <w:p w:rsidR="00061D04" w:rsidRDefault="00061D04" w:rsidP="00936CAA">
      <w:pPr>
        <w:jc w:val="both"/>
      </w:pPr>
      <w:r>
        <w:t>Figure 7: Biomass trends for the BC super-area A8+.</w:t>
      </w:r>
    </w:p>
    <w:p w:rsidR="00810748" w:rsidRDefault="00810748">
      <w:r>
        <w:br w:type="page"/>
      </w:r>
    </w:p>
    <w:p w:rsidR="00810748" w:rsidRDefault="00810748" w:rsidP="00810748">
      <w:pPr>
        <w:jc w:val="center"/>
      </w:pPr>
      <w:r>
        <w:rPr>
          <w:noProof/>
          <w:lang w:eastAsia="en-ZA"/>
        </w:rPr>
        <w:lastRenderedPageBreak/>
        <w:drawing>
          <wp:inline distT="0" distB="0" distL="0" distR="0" wp14:anchorId="11FEE492">
            <wp:extent cx="4447337" cy="8016741"/>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9792" cy="8021167"/>
                    </a:xfrm>
                    <a:prstGeom prst="rect">
                      <a:avLst/>
                    </a:prstGeom>
                    <a:noFill/>
                  </pic:spPr>
                </pic:pic>
              </a:graphicData>
            </a:graphic>
          </wp:inline>
        </w:drawing>
      </w:r>
    </w:p>
    <w:p w:rsidR="00810748" w:rsidRDefault="00810748" w:rsidP="00936CAA">
      <w:pPr>
        <w:jc w:val="both"/>
      </w:pPr>
      <w:r>
        <w:t>Figure 8: Estimated selectivity functions for super-area A8+.</w:t>
      </w:r>
    </w:p>
    <w:p w:rsidR="00810748" w:rsidRDefault="00810748">
      <w:r>
        <w:br w:type="page"/>
      </w:r>
    </w:p>
    <w:p w:rsidR="00810748" w:rsidRDefault="00033727" w:rsidP="00936CAA">
      <w:pPr>
        <w:jc w:val="both"/>
      </w:pPr>
      <w:r>
        <w:rPr>
          <w:noProof/>
        </w:rPr>
        <w:lastRenderedPageBreak/>
        <w:drawing>
          <wp:inline distT="0" distB="0" distL="0" distR="0" wp14:anchorId="29FC5E3E">
            <wp:extent cx="5215352" cy="768255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6897" cy="7699560"/>
                    </a:xfrm>
                    <a:prstGeom prst="rect">
                      <a:avLst/>
                    </a:prstGeom>
                    <a:noFill/>
                  </pic:spPr>
                </pic:pic>
              </a:graphicData>
            </a:graphic>
          </wp:inline>
        </w:drawing>
      </w:r>
    </w:p>
    <w:p w:rsidR="00810748" w:rsidRDefault="00810748" w:rsidP="00936CAA">
      <w:pPr>
        <w:jc w:val="both"/>
      </w:pPr>
    </w:p>
    <w:p w:rsidR="00810748" w:rsidRDefault="00810748" w:rsidP="00936CAA">
      <w:pPr>
        <w:jc w:val="both"/>
      </w:pPr>
      <w:r>
        <w:t>Figure 9</w:t>
      </w:r>
      <w:r w:rsidR="00F811F6">
        <w:t xml:space="preserve">: Fits to the TRAP, HOOP and FIMS catch-at-length data for super-area A8+ (Note: fits averaged over periods; </w:t>
      </w:r>
      <w:proofErr w:type="gramStart"/>
      <w:r w:rsidR="00F811F6">
        <w:t>plus</w:t>
      </w:r>
      <w:proofErr w:type="gramEnd"/>
      <w:r w:rsidR="00F811F6">
        <w:t xml:space="preserve"> and minus-groups are incorporated).</w:t>
      </w:r>
    </w:p>
    <w:p w:rsidR="00011861" w:rsidRDefault="00011861">
      <w:r>
        <w:br w:type="page"/>
      </w:r>
    </w:p>
    <w:p w:rsidR="00810748" w:rsidRDefault="00011861" w:rsidP="00936CAA">
      <w:pPr>
        <w:jc w:val="both"/>
      </w:pPr>
      <w:r>
        <w:rPr>
          <w:noProof/>
        </w:rPr>
        <w:lastRenderedPageBreak/>
        <w:drawing>
          <wp:inline distT="0" distB="0" distL="0" distR="0" wp14:anchorId="694DC624">
            <wp:extent cx="4603115" cy="8267065"/>
            <wp:effectExtent l="0" t="0" r="698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3115" cy="8267065"/>
                    </a:xfrm>
                    <a:prstGeom prst="rect">
                      <a:avLst/>
                    </a:prstGeom>
                    <a:noFill/>
                  </pic:spPr>
                </pic:pic>
              </a:graphicData>
            </a:graphic>
          </wp:inline>
        </w:drawing>
      </w:r>
    </w:p>
    <w:p w:rsidR="00011861" w:rsidRDefault="00011861" w:rsidP="00936CAA">
      <w:pPr>
        <w:jc w:val="both"/>
      </w:pPr>
      <w:r>
        <w:t>Figure 10: A8+ trends of commercial catch, discarded biomass, ratio of discarded biomass to commercial catch and the biomass lost due to the 10% discard mortality.</w:t>
      </w:r>
      <w:bookmarkStart w:id="0" w:name="_GoBack"/>
      <w:bookmarkEnd w:id="0"/>
    </w:p>
    <w:sectPr w:rsidR="00011861">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2B9" w:rsidRDefault="002C62B9" w:rsidP="0068756D">
      <w:pPr>
        <w:spacing w:after="0" w:line="240" w:lineRule="auto"/>
      </w:pPr>
      <w:r>
        <w:separator/>
      </w:r>
    </w:p>
  </w:endnote>
  <w:endnote w:type="continuationSeparator" w:id="0">
    <w:p w:rsidR="002C62B9" w:rsidRDefault="002C62B9" w:rsidP="0068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482123"/>
      <w:docPartObj>
        <w:docPartGallery w:val="Page Numbers (Bottom of Page)"/>
        <w:docPartUnique/>
      </w:docPartObj>
    </w:sdtPr>
    <w:sdtEndPr>
      <w:rPr>
        <w:noProof/>
      </w:rPr>
    </w:sdtEndPr>
    <w:sdtContent>
      <w:p w:rsidR="00680947" w:rsidRDefault="00680947">
        <w:pPr>
          <w:pStyle w:val="Footer"/>
          <w:jc w:val="center"/>
        </w:pPr>
        <w:r>
          <w:fldChar w:fldCharType="begin"/>
        </w:r>
        <w:r>
          <w:instrText xml:space="preserve"> PAGE   \* MERGEFORMAT </w:instrText>
        </w:r>
        <w:r>
          <w:fldChar w:fldCharType="separate"/>
        </w:r>
        <w:r w:rsidR="00174645">
          <w:rPr>
            <w:noProof/>
          </w:rPr>
          <w:t>3</w:t>
        </w:r>
        <w:r>
          <w:rPr>
            <w:noProof/>
          </w:rPr>
          <w:fldChar w:fldCharType="end"/>
        </w:r>
      </w:p>
    </w:sdtContent>
  </w:sdt>
  <w:p w:rsidR="00680947" w:rsidRDefault="00680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2B9" w:rsidRDefault="002C62B9" w:rsidP="0068756D">
      <w:pPr>
        <w:spacing w:after="0" w:line="240" w:lineRule="auto"/>
      </w:pPr>
      <w:r>
        <w:separator/>
      </w:r>
    </w:p>
  </w:footnote>
  <w:footnote w:type="continuationSeparator" w:id="0">
    <w:p w:rsidR="002C62B9" w:rsidRDefault="002C62B9" w:rsidP="0068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7F7" w:rsidRDefault="004527F7">
    <w:pPr>
      <w:pStyle w:val="Header"/>
    </w:pPr>
    <w:r>
      <w:tab/>
    </w:r>
    <w:r>
      <w:tab/>
      <w:t>MARAM/IWS/2019/WCRL/WP1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074F1"/>
    <w:multiLevelType w:val="hybridMultilevel"/>
    <w:tmpl w:val="E092BC78"/>
    <w:lvl w:ilvl="0" w:tplc="EA705AB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7DB45B9"/>
    <w:multiLevelType w:val="hybridMultilevel"/>
    <w:tmpl w:val="F50676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56D"/>
    <w:rsid w:val="00011861"/>
    <w:rsid w:val="00033727"/>
    <w:rsid w:val="00061D04"/>
    <w:rsid w:val="00174645"/>
    <w:rsid w:val="001806BC"/>
    <w:rsid w:val="001D7ACF"/>
    <w:rsid w:val="00256B61"/>
    <w:rsid w:val="002C62B9"/>
    <w:rsid w:val="003C4832"/>
    <w:rsid w:val="003F7C1B"/>
    <w:rsid w:val="004527F7"/>
    <w:rsid w:val="005734B7"/>
    <w:rsid w:val="00680947"/>
    <w:rsid w:val="0068756D"/>
    <w:rsid w:val="006966D3"/>
    <w:rsid w:val="0070378D"/>
    <w:rsid w:val="007E15B3"/>
    <w:rsid w:val="00810748"/>
    <w:rsid w:val="00936CAA"/>
    <w:rsid w:val="00A8348F"/>
    <w:rsid w:val="00AE0937"/>
    <w:rsid w:val="00BE47ED"/>
    <w:rsid w:val="00F46966"/>
    <w:rsid w:val="00F811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1A6E"/>
  <w15:docId w15:val="{F6DD74B7-63A7-4E3D-ACE2-7C2E4A77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56D"/>
  </w:style>
  <w:style w:type="paragraph" w:styleId="Footer">
    <w:name w:val="footer"/>
    <w:basedOn w:val="Normal"/>
    <w:link w:val="FooterChar"/>
    <w:uiPriority w:val="99"/>
    <w:unhideWhenUsed/>
    <w:rsid w:val="0068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56D"/>
  </w:style>
  <w:style w:type="paragraph" w:styleId="BalloonText">
    <w:name w:val="Balloon Text"/>
    <w:basedOn w:val="Normal"/>
    <w:link w:val="BalloonTextChar"/>
    <w:uiPriority w:val="99"/>
    <w:semiHidden/>
    <w:unhideWhenUsed/>
    <w:rsid w:val="003F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C1B"/>
    <w:rPr>
      <w:rFonts w:ascii="Segoe UI" w:hAnsi="Segoe UI" w:cs="Segoe UI"/>
      <w:sz w:val="18"/>
      <w:szCs w:val="18"/>
    </w:rPr>
  </w:style>
  <w:style w:type="paragraph" w:styleId="FootnoteText">
    <w:name w:val="footnote text"/>
    <w:basedOn w:val="Normal"/>
    <w:link w:val="FootnoteTextChar"/>
    <w:uiPriority w:val="99"/>
    <w:semiHidden/>
    <w:rsid w:val="003F7C1B"/>
    <w:pPr>
      <w:spacing w:after="0" w:line="240" w:lineRule="auto"/>
    </w:pPr>
    <w:rPr>
      <w:rFonts w:ascii="Calibri" w:eastAsia="Calibri" w:hAnsi="Calibri" w:cs="Times New Roman"/>
      <w:sz w:val="20"/>
      <w:szCs w:val="20"/>
      <w:lang w:val="en-AU"/>
    </w:rPr>
  </w:style>
  <w:style w:type="character" w:customStyle="1" w:styleId="FootnoteTextChar">
    <w:name w:val="Footnote Text Char"/>
    <w:basedOn w:val="DefaultParagraphFont"/>
    <w:link w:val="FootnoteText"/>
    <w:uiPriority w:val="99"/>
    <w:semiHidden/>
    <w:rsid w:val="003F7C1B"/>
    <w:rPr>
      <w:rFonts w:ascii="Calibri" w:eastAsia="Calibri" w:hAnsi="Calibri" w:cs="Times New Roman"/>
      <w:sz w:val="20"/>
      <w:szCs w:val="20"/>
      <w:lang w:val="en-AU"/>
    </w:rPr>
  </w:style>
  <w:style w:type="character" w:styleId="FootnoteReference">
    <w:name w:val="footnote reference"/>
    <w:basedOn w:val="DefaultParagraphFont"/>
    <w:uiPriority w:val="99"/>
    <w:semiHidden/>
    <w:rsid w:val="003F7C1B"/>
    <w:rPr>
      <w:rFonts w:cs="Times New Roman"/>
      <w:vertAlign w:val="superscript"/>
    </w:rPr>
  </w:style>
  <w:style w:type="paragraph" w:styleId="ListParagraph">
    <w:name w:val="List Paragraph"/>
    <w:basedOn w:val="Normal"/>
    <w:uiPriority w:val="34"/>
    <w:qFormat/>
    <w:rsid w:val="00256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18D7-B952-4809-A823-6A3D986F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Holloway</dc:creator>
  <cp:keywords/>
  <dc:description/>
  <cp:lastModifiedBy>Susan Holloway</cp:lastModifiedBy>
  <cp:revision>6</cp:revision>
  <dcterms:created xsi:type="dcterms:W3CDTF">2019-12-03T12:47:00Z</dcterms:created>
  <dcterms:modified xsi:type="dcterms:W3CDTF">2019-12-04T07:52:00Z</dcterms:modified>
</cp:coreProperties>
</file>